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8B" w:rsidRPr="0029118B" w:rsidRDefault="0029118B" w:rsidP="00BA4EF5">
      <w:pPr>
        <w:pStyle w:val="Pa4"/>
        <w:jc w:val="both"/>
        <w:rPr>
          <w:rStyle w:val="A2"/>
          <w:rFonts w:ascii="Arial Narrow" w:hAnsi="Arial Narrow"/>
          <w:bCs w:val="0"/>
          <w:sz w:val="20"/>
          <w:szCs w:val="20"/>
        </w:rPr>
      </w:pPr>
      <w:r w:rsidRPr="0029118B">
        <w:rPr>
          <w:rStyle w:val="A2"/>
          <w:rFonts w:ascii="Arial Narrow" w:hAnsi="Arial Narrow"/>
          <w:bCs w:val="0"/>
          <w:sz w:val="20"/>
          <w:szCs w:val="20"/>
        </w:rPr>
        <w:t xml:space="preserve">Program </w:t>
      </w:r>
      <w:proofErr w:type="spellStart"/>
      <w:r w:rsidRPr="0029118B">
        <w:rPr>
          <w:rStyle w:val="A2"/>
          <w:rFonts w:ascii="Arial Narrow" w:hAnsi="Arial Narrow"/>
          <w:bCs w:val="0"/>
          <w:sz w:val="20"/>
          <w:szCs w:val="20"/>
        </w:rPr>
        <w:t>předvstupní</w:t>
      </w:r>
      <w:proofErr w:type="spellEnd"/>
      <w:r w:rsidRPr="0029118B">
        <w:rPr>
          <w:rStyle w:val="A2"/>
          <w:rFonts w:ascii="Arial Narrow" w:hAnsi="Arial Narrow"/>
          <w:bCs w:val="0"/>
          <w:sz w:val="20"/>
          <w:szCs w:val="20"/>
        </w:rPr>
        <w:t xml:space="preserve"> pomoci</w:t>
      </w:r>
      <w:r>
        <w:rPr>
          <w:rStyle w:val="A2"/>
          <w:rFonts w:ascii="Arial Narrow" w:hAnsi="Arial Narrow"/>
          <w:bCs w:val="0"/>
          <w:sz w:val="20"/>
          <w:szCs w:val="20"/>
        </w:rPr>
        <w:t xml:space="preserve"> (IPA)</w:t>
      </w:r>
    </w:p>
    <w:p w:rsidR="0029118B" w:rsidRPr="0029118B" w:rsidRDefault="0029118B" w:rsidP="0029118B">
      <w:pPr>
        <w:spacing w:after="0"/>
        <w:rPr>
          <w:rFonts w:ascii="Arial Narrow" w:hAnsi="Arial Narrow"/>
          <w:sz w:val="20"/>
          <w:szCs w:val="20"/>
        </w:rPr>
      </w:pPr>
    </w:p>
    <w:p w:rsidR="00BA4EF5" w:rsidRPr="0029118B" w:rsidRDefault="00BA4EF5" w:rsidP="00BA4EF5">
      <w:pPr>
        <w:pStyle w:val="Pa4"/>
        <w:jc w:val="both"/>
        <w:rPr>
          <w:rStyle w:val="A2"/>
          <w:rFonts w:ascii="Arial Narrow" w:hAnsi="Arial Narrow"/>
          <w:b w:val="0"/>
          <w:bCs w:val="0"/>
          <w:sz w:val="20"/>
          <w:szCs w:val="20"/>
        </w:rPr>
      </w:pP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Hlavním cílem </w:t>
      </w:r>
      <w:proofErr w:type="spellStart"/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>předvstupní</w:t>
      </w:r>
      <w:proofErr w:type="spellEnd"/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 pomoci v rámci </w:t>
      </w:r>
      <w:r w:rsidRPr="0029118B">
        <w:rPr>
          <w:rStyle w:val="A2"/>
          <w:rFonts w:ascii="Arial Narrow" w:hAnsi="Arial Narrow"/>
          <w:sz w:val="20"/>
          <w:szCs w:val="20"/>
        </w:rPr>
        <w:t xml:space="preserve">Integrovaného nástroje pro </w:t>
      </w:r>
      <w:proofErr w:type="spellStart"/>
      <w:r w:rsidRPr="0029118B">
        <w:rPr>
          <w:rStyle w:val="A2"/>
          <w:rFonts w:ascii="Arial Narrow" w:hAnsi="Arial Narrow"/>
          <w:sz w:val="20"/>
          <w:szCs w:val="20"/>
        </w:rPr>
        <w:t>předvstupní</w:t>
      </w:r>
      <w:proofErr w:type="spellEnd"/>
      <w:r w:rsidRPr="0029118B">
        <w:rPr>
          <w:rStyle w:val="A2"/>
          <w:rFonts w:ascii="Arial Narrow" w:hAnsi="Arial Narrow"/>
          <w:sz w:val="20"/>
          <w:szCs w:val="20"/>
        </w:rPr>
        <w:t xml:space="preserve"> pomoc </w:t>
      </w: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(IPA) je proto podpora zavádění nezbytných politických, ekonomických a institucionálních reforem v souladu s normami EU, a podporované reformy mají za úkol zlepšit životní úroveň občanů v zemích přijímajících tuto pomoc a připravit tyto země na budoucí čerpání finančních prostředků, kterými disponuje EU v rámci svých jednotlivých nástrojů strukturální a kohezní politiky. </w:t>
      </w:r>
      <w:r w:rsidRPr="0029118B">
        <w:rPr>
          <w:rStyle w:val="A2"/>
          <w:rFonts w:ascii="Arial Narrow" w:hAnsi="Arial Narrow"/>
          <w:sz w:val="20"/>
          <w:szCs w:val="20"/>
        </w:rPr>
        <w:t xml:space="preserve">Finanční prostředky IPA </w:t>
      </w: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pro současný finanční rámec 2007-2013 přitom činí </w:t>
      </w:r>
      <w:r w:rsidRPr="0029118B">
        <w:rPr>
          <w:rStyle w:val="A2"/>
          <w:rFonts w:ascii="Arial Narrow" w:hAnsi="Arial Narrow"/>
          <w:sz w:val="20"/>
          <w:szCs w:val="20"/>
        </w:rPr>
        <w:t>11,5 miliardy EUR</w:t>
      </w: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>.</w:t>
      </w:r>
    </w:p>
    <w:p w:rsidR="00BA4EF5" w:rsidRPr="0029118B" w:rsidRDefault="00BA4EF5" w:rsidP="00BA4EF5">
      <w:pPr>
        <w:rPr>
          <w:rFonts w:ascii="Arial Narrow" w:hAnsi="Arial Narrow"/>
          <w:sz w:val="20"/>
          <w:szCs w:val="20"/>
        </w:rPr>
      </w:pPr>
    </w:p>
    <w:p w:rsidR="00BA4EF5" w:rsidRPr="0029118B" w:rsidRDefault="00BA4EF5" w:rsidP="00BA4EF5">
      <w:pPr>
        <w:pStyle w:val="Pa4"/>
        <w:jc w:val="both"/>
        <w:rPr>
          <w:rFonts w:ascii="Arial Narrow" w:hAnsi="Arial Narrow"/>
          <w:color w:val="000000"/>
          <w:sz w:val="20"/>
          <w:szCs w:val="20"/>
        </w:rPr>
      </w:pP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>Aby bylo dosaženo cílů pro každou jednotlivou zemi co možná nejúčinněji, jsou regionální programy IPA tvořeny z následujících složek (komponent):</w:t>
      </w:r>
    </w:p>
    <w:p w:rsidR="00BA4EF5" w:rsidRPr="0029118B" w:rsidRDefault="00BA4EF5" w:rsidP="00BA4EF5">
      <w:pPr>
        <w:pStyle w:val="Pa4"/>
        <w:jc w:val="both"/>
        <w:rPr>
          <w:rFonts w:ascii="Arial Narrow" w:hAnsi="Arial Narrow"/>
          <w:color w:val="000000"/>
          <w:sz w:val="20"/>
          <w:szCs w:val="20"/>
        </w:rPr>
      </w:pPr>
      <w:r w:rsidRPr="0029118B">
        <w:rPr>
          <w:rStyle w:val="A2"/>
          <w:rFonts w:ascii="Arial Narrow" w:hAnsi="Arial Narrow"/>
          <w:sz w:val="20"/>
          <w:szCs w:val="20"/>
        </w:rPr>
        <w:t xml:space="preserve">I. </w:t>
      </w:r>
      <w:r w:rsidRPr="00EE651A">
        <w:rPr>
          <w:rStyle w:val="A7"/>
          <w:rFonts w:ascii="Arial Narrow" w:hAnsi="Arial Narrow"/>
          <w:b/>
          <w:sz w:val="20"/>
          <w:szCs w:val="20"/>
          <w:u w:val="none"/>
        </w:rPr>
        <w:t>pomoc v přechodném období a budování institucí</w:t>
      </w:r>
    </w:p>
    <w:p w:rsidR="00BA4EF5" w:rsidRPr="0029118B" w:rsidRDefault="00BA4EF5" w:rsidP="00BA4EF5">
      <w:pPr>
        <w:pStyle w:val="Pa4"/>
        <w:jc w:val="both"/>
        <w:rPr>
          <w:rFonts w:ascii="Arial Narrow" w:hAnsi="Arial Narrow"/>
          <w:color w:val="000000"/>
          <w:sz w:val="20"/>
          <w:szCs w:val="20"/>
        </w:rPr>
      </w:pPr>
      <w:r w:rsidRPr="0029118B">
        <w:rPr>
          <w:rStyle w:val="A2"/>
          <w:rFonts w:ascii="Arial Narrow" w:hAnsi="Arial Narrow"/>
          <w:sz w:val="20"/>
          <w:szCs w:val="20"/>
        </w:rPr>
        <w:t xml:space="preserve">II. </w:t>
      </w:r>
      <w:proofErr w:type="spellStart"/>
      <w:r w:rsidRPr="00EE651A">
        <w:rPr>
          <w:rStyle w:val="A7"/>
          <w:rFonts w:ascii="Arial Narrow" w:hAnsi="Arial Narrow"/>
          <w:b/>
          <w:sz w:val="20"/>
          <w:szCs w:val="20"/>
          <w:u w:val="none"/>
        </w:rPr>
        <w:t>přeshraniční</w:t>
      </w:r>
      <w:proofErr w:type="spellEnd"/>
      <w:r w:rsidRPr="00EE651A">
        <w:rPr>
          <w:rStyle w:val="A7"/>
          <w:rFonts w:ascii="Arial Narrow" w:hAnsi="Arial Narrow"/>
          <w:b/>
          <w:sz w:val="20"/>
          <w:szCs w:val="20"/>
          <w:u w:val="none"/>
        </w:rPr>
        <w:t xml:space="preserve"> spolupráce</w:t>
      </w:r>
      <w:r w:rsidRPr="00EE651A">
        <w:rPr>
          <w:rStyle w:val="A7"/>
          <w:rFonts w:ascii="Arial Narrow" w:hAnsi="Arial Narrow"/>
          <w:sz w:val="20"/>
          <w:szCs w:val="20"/>
          <w:u w:val="none"/>
        </w:rPr>
        <w:t xml:space="preserve"> </w:t>
      </w: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>(s členskými státy EU a s dalšími zeměmi, které jsou způsobilé pro NPP)</w:t>
      </w:r>
    </w:p>
    <w:p w:rsidR="00BA4EF5" w:rsidRPr="0029118B" w:rsidRDefault="00BA4EF5" w:rsidP="00BA4EF5">
      <w:pPr>
        <w:pStyle w:val="Pa4"/>
        <w:jc w:val="both"/>
        <w:rPr>
          <w:rFonts w:ascii="Arial Narrow" w:hAnsi="Arial Narrow"/>
          <w:color w:val="000000"/>
          <w:sz w:val="20"/>
          <w:szCs w:val="20"/>
        </w:rPr>
      </w:pPr>
      <w:r w:rsidRPr="0029118B">
        <w:rPr>
          <w:rStyle w:val="A2"/>
          <w:rFonts w:ascii="Arial Narrow" w:hAnsi="Arial Narrow"/>
          <w:sz w:val="20"/>
          <w:szCs w:val="20"/>
        </w:rPr>
        <w:t xml:space="preserve">III. </w:t>
      </w:r>
      <w:r w:rsidRPr="00EE651A">
        <w:rPr>
          <w:rStyle w:val="A2"/>
          <w:rFonts w:ascii="Arial Narrow" w:hAnsi="Arial Narrow"/>
          <w:bCs w:val="0"/>
          <w:sz w:val="20"/>
          <w:szCs w:val="20"/>
        </w:rPr>
        <w:t>regionální rozvoj</w:t>
      </w: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 (rozvoj dopravy, životního prostředí a hospodářství)</w:t>
      </w:r>
    </w:p>
    <w:p w:rsidR="00BA4EF5" w:rsidRPr="0029118B" w:rsidRDefault="00BA4EF5" w:rsidP="00BA4EF5">
      <w:pPr>
        <w:pStyle w:val="Pa4"/>
        <w:jc w:val="both"/>
        <w:rPr>
          <w:rFonts w:ascii="Arial Narrow" w:hAnsi="Arial Narrow"/>
          <w:color w:val="000000"/>
          <w:sz w:val="20"/>
          <w:szCs w:val="20"/>
        </w:rPr>
      </w:pPr>
      <w:r w:rsidRPr="0029118B">
        <w:rPr>
          <w:rStyle w:val="A2"/>
          <w:rFonts w:ascii="Arial Narrow" w:hAnsi="Arial Narrow"/>
          <w:sz w:val="20"/>
          <w:szCs w:val="20"/>
        </w:rPr>
        <w:t xml:space="preserve">IV. </w:t>
      </w:r>
      <w:r w:rsidRPr="00EE651A">
        <w:rPr>
          <w:rStyle w:val="A2"/>
          <w:rFonts w:ascii="Arial Narrow" w:hAnsi="Arial Narrow"/>
          <w:bCs w:val="0"/>
          <w:sz w:val="20"/>
          <w:szCs w:val="20"/>
        </w:rPr>
        <w:t>rozvoj lidských zdrojů</w:t>
      </w: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 (posilování lidského kapitálu a boj proti jakýmkoli formám vyloučení ze společnosti)</w:t>
      </w:r>
    </w:p>
    <w:p w:rsidR="00BA4EF5" w:rsidRPr="0029118B" w:rsidRDefault="00BA4EF5" w:rsidP="00BA4EF5">
      <w:pPr>
        <w:pStyle w:val="Pa4"/>
        <w:jc w:val="both"/>
        <w:rPr>
          <w:rFonts w:ascii="Arial Narrow" w:hAnsi="Arial Narrow"/>
          <w:color w:val="000000"/>
          <w:sz w:val="20"/>
          <w:szCs w:val="20"/>
        </w:rPr>
      </w:pPr>
      <w:r w:rsidRPr="0029118B">
        <w:rPr>
          <w:rStyle w:val="A2"/>
          <w:rFonts w:ascii="Arial Narrow" w:hAnsi="Arial Narrow"/>
          <w:sz w:val="20"/>
          <w:szCs w:val="20"/>
        </w:rPr>
        <w:t xml:space="preserve">V. </w:t>
      </w:r>
      <w:r w:rsidRPr="00EE651A">
        <w:rPr>
          <w:rStyle w:val="A2"/>
          <w:rFonts w:ascii="Arial Narrow" w:hAnsi="Arial Narrow"/>
          <w:bCs w:val="0"/>
          <w:sz w:val="20"/>
          <w:szCs w:val="20"/>
        </w:rPr>
        <w:t>rozvoj venkova</w:t>
      </w:r>
    </w:p>
    <w:p w:rsidR="00BA4EF5" w:rsidRPr="0029118B" w:rsidRDefault="00BA4EF5" w:rsidP="00BA4EF5">
      <w:pPr>
        <w:pStyle w:val="Pa4"/>
        <w:jc w:val="both"/>
        <w:rPr>
          <w:rStyle w:val="A7"/>
          <w:rFonts w:ascii="Arial Narrow" w:hAnsi="Arial Narrow"/>
          <w:sz w:val="20"/>
          <w:szCs w:val="20"/>
        </w:rPr>
      </w:pPr>
    </w:p>
    <w:p w:rsidR="00BA4EF5" w:rsidRPr="0029118B" w:rsidRDefault="00BA4EF5" w:rsidP="00BA4EF5">
      <w:pPr>
        <w:pStyle w:val="Pa4"/>
        <w:jc w:val="both"/>
        <w:rPr>
          <w:rFonts w:ascii="Arial Narrow" w:hAnsi="Arial Narrow"/>
          <w:color w:val="000000"/>
          <w:sz w:val="20"/>
          <w:szCs w:val="20"/>
        </w:rPr>
      </w:pPr>
      <w:r w:rsidRPr="00EE651A">
        <w:rPr>
          <w:rStyle w:val="A7"/>
          <w:rFonts w:ascii="Arial Narrow" w:hAnsi="Arial Narrow"/>
          <w:sz w:val="20"/>
          <w:szCs w:val="20"/>
          <w:u w:val="none"/>
        </w:rPr>
        <w:t>Komponenty I a II mohou využít všechny země</w:t>
      </w:r>
      <w:r w:rsidRPr="00EE651A">
        <w:rPr>
          <w:rStyle w:val="A2"/>
          <w:rFonts w:ascii="Arial Narrow" w:hAnsi="Arial Narrow"/>
          <w:b w:val="0"/>
          <w:bCs w:val="0"/>
          <w:sz w:val="20"/>
          <w:szCs w:val="20"/>
        </w:rPr>
        <w:t>.</w:t>
      </w: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 Komponenta I zahrnuje budování institucí a s tím i spojené finanční náklady na přechodná období a stabilizaci regionu. K realizaci této komponenty slouží každoroční národní programy a programy společné pro několik přijímajících zemí najednou. Komponenta II podporuje </w:t>
      </w:r>
      <w:proofErr w:type="spellStart"/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>přeshraniční</w:t>
      </w:r>
      <w:proofErr w:type="spellEnd"/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 spolupráci mezi kandidátskými a potencionálními kandidátskými zeměmi navzájem a mezi nimi a členskými státy. Může se z ní financovat také účast zemí přijímající pomoc ze strukturálních fondů pro mezistátní spolupráci nebo případně účast na programech spolupráce pobřežních oblastí v rámci evropského nástroje sousedství a partnerství (ENPI).</w:t>
      </w:r>
      <w:r w:rsidR="00EE651A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 </w:t>
      </w:r>
      <w:r w:rsidRPr="00EE651A">
        <w:rPr>
          <w:rStyle w:val="A7"/>
          <w:rFonts w:ascii="Arial Narrow" w:hAnsi="Arial Narrow"/>
          <w:sz w:val="20"/>
          <w:szCs w:val="20"/>
          <w:u w:val="none"/>
        </w:rPr>
        <w:t>Komponent III, IV a V se mohou účastnit pouze kandidátské země</w:t>
      </w: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. Tyto komponenty mají za úkol připravit řízení strukturálních a kohezních fondů a fondů pro rozvoj venkova po vstupu těchto zemí do EU. </w:t>
      </w:r>
    </w:p>
    <w:p w:rsidR="00BA4EF5" w:rsidRPr="0029118B" w:rsidRDefault="00BA4EF5" w:rsidP="00BA4EF5">
      <w:pPr>
        <w:pStyle w:val="Pa4"/>
        <w:jc w:val="both"/>
        <w:rPr>
          <w:rStyle w:val="A2"/>
          <w:rFonts w:ascii="Arial Narrow" w:hAnsi="Arial Narrow"/>
          <w:sz w:val="20"/>
          <w:szCs w:val="20"/>
        </w:rPr>
      </w:pPr>
    </w:p>
    <w:p w:rsidR="00BA4EF5" w:rsidRPr="0029118B" w:rsidRDefault="00BA4EF5" w:rsidP="00BA4EF5">
      <w:pPr>
        <w:pStyle w:val="Pa4"/>
        <w:jc w:val="both"/>
        <w:rPr>
          <w:rFonts w:ascii="Arial Narrow" w:hAnsi="Arial Narrow"/>
          <w:color w:val="000000"/>
          <w:sz w:val="20"/>
          <w:szCs w:val="20"/>
        </w:rPr>
      </w:pPr>
      <w:r w:rsidRPr="0029118B">
        <w:rPr>
          <w:rStyle w:val="A2"/>
          <w:rFonts w:ascii="Arial Narrow" w:hAnsi="Arial Narrow"/>
          <w:sz w:val="20"/>
          <w:szCs w:val="20"/>
        </w:rPr>
        <w:t xml:space="preserve">Kandidátské země </w:t>
      </w: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jsou Chorvatsko, Turecko, Island, Černá hora a Bývalá </w:t>
      </w:r>
      <w:proofErr w:type="spellStart"/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>jugoslávská</w:t>
      </w:r>
      <w:proofErr w:type="spellEnd"/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 republika Makedonie.</w:t>
      </w:r>
    </w:p>
    <w:p w:rsidR="00BA4EF5" w:rsidRPr="0029118B" w:rsidRDefault="00BA4EF5" w:rsidP="00BA4EF5">
      <w:pPr>
        <w:pStyle w:val="Pa4"/>
        <w:jc w:val="both"/>
        <w:rPr>
          <w:rFonts w:ascii="Arial Narrow" w:hAnsi="Arial Narrow"/>
          <w:color w:val="000000"/>
          <w:sz w:val="20"/>
          <w:szCs w:val="20"/>
        </w:rPr>
      </w:pPr>
      <w:r w:rsidRPr="0029118B">
        <w:rPr>
          <w:rStyle w:val="A2"/>
          <w:rFonts w:ascii="Arial Narrow" w:hAnsi="Arial Narrow"/>
          <w:sz w:val="20"/>
          <w:szCs w:val="20"/>
        </w:rPr>
        <w:t xml:space="preserve">Potenciální kandidátské země </w:t>
      </w: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>jsou Albánie, Bosna a Hercegovina, Srbsko včetně Kosova podle rezoluce Rady bezpečnosti OSN č. 1244.</w:t>
      </w:r>
    </w:p>
    <w:p w:rsidR="00EE651A" w:rsidRDefault="00EE651A" w:rsidP="00BA4EF5">
      <w:pPr>
        <w:pStyle w:val="Pa4"/>
        <w:jc w:val="both"/>
        <w:rPr>
          <w:rStyle w:val="A2"/>
          <w:rFonts w:ascii="Arial Narrow" w:hAnsi="Arial Narrow"/>
          <w:b w:val="0"/>
          <w:bCs w:val="0"/>
          <w:sz w:val="20"/>
          <w:szCs w:val="20"/>
        </w:rPr>
      </w:pPr>
    </w:p>
    <w:p w:rsidR="00BA4EF5" w:rsidRPr="0029118B" w:rsidRDefault="00BA4EF5" w:rsidP="00BA4EF5">
      <w:pPr>
        <w:pStyle w:val="Pa4"/>
        <w:jc w:val="both"/>
        <w:rPr>
          <w:rStyle w:val="A2"/>
          <w:rFonts w:ascii="Arial Narrow" w:hAnsi="Arial Narrow"/>
          <w:b w:val="0"/>
          <w:bCs w:val="0"/>
          <w:sz w:val="20"/>
          <w:szCs w:val="20"/>
        </w:rPr>
      </w:pP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>Více informací k plánovanému využití těchto regionálních programů IPA jednotlivými státy</w:t>
      </w:r>
      <w:r w:rsidR="00EE651A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 zde</w:t>
      </w: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>:</w:t>
      </w:r>
    </w:p>
    <w:p w:rsidR="00BA4EF5" w:rsidRPr="0029118B" w:rsidRDefault="00BA4EF5" w:rsidP="00BA4EF5">
      <w:pPr>
        <w:pStyle w:val="Pa4"/>
        <w:jc w:val="both"/>
        <w:rPr>
          <w:rStyle w:val="A2"/>
          <w:rFonts w:ascii="Arial Narrow" w:hAnsi="Arial Narrow"/>
          <w:b w:val="0"/>
          <w:bCs w:val="0"/>
          <w:sz w:val="20"/>
          <w:szCs w:val="20"/>
        </w:rPr>
      </w:pPr>
      <w:hyperlink r:id="rId4" w:history="1">
        <w:r w:rsidRPr="0029118B">
          <w:rPr>
            <w:rStyle w:val="Hypertextovodkaz"/>
            <w:rFonts w:ascii="Arial Narrow" w:hAnsi="Arial Narrow"/>
            <w:sz w:val="20"/>
            <w:szCs w:val="20"/>
          </w:rPr>
          <w:t>http://ec.europa.eu/enlargement/how-does-it-work/financial-assistance/planning-ipa_en.htm</w:t>
        </w:r>
      </w:hyperlink>
    </w:p>
    <w:p w:rsidR="00BA4EF5" w:rsidRPr="0029118B" w:rsidRDefault="00BA4EF5" w:rsidP="00BA4EF5">
      <w:pPr>
        <w:pStyle w:val="Pa4"/>
        <w:jc w:val="both"/>
        <w:rPr>
          <w:rFonts w:ascii="Arial Narrow" w:hAnsi="Arial Narrow"/>
          <w:color w:val="000000"/>
          <w:sz w:val="20"/>
          <w:szCs w:val="20"/>
        </w:rPr>
      </w:pP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 </w:t>
      </w:r>
    </w:p>
    <w:p w:rsidR="00BA4EF5" w:rsidRPr="0029118B" w:rsidRDefault="00BA4EF5" w:rsidP="00BA4EF5">
      <w:pPr>
        <w:pStyle w:val="Pa4"/>
        <w:jc w:val="both"/>
        <w:rPr>
          <w:rStyle w:val="A2"/>
          <w:rFonts w:ascii="Arial Narrow" w:hAnsi="Arial Narrow"/>
          <w:b w:val="0"/>
          <w:bCs w:val="0"/>
          <w:sz w:val="20"/>
          <w:szCs w:val="20"/>
        </w:rPr>
      </w:pP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Důležitou složkou regionální spolupráce mezi EU a státy jihovýchodní Evropy je i </w:t>
      </w:r>
      <w:r w:rsidRPr="0029118B">
        <w:rPr>
          <w:rStyle w:val="A2"/>
          <w:rFonts w:ascii="Arial Narrow" w:hAnsi="Arial Narrow"/>
          <w:sz w:val="20"/>
          <w:szCs w:val="20"/>
        </w:rPr>
        <w:t>technická pomoc</w:t>
      </w: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, jejímž prostřednictvím EU jednak posiluje, ale také i ověřuje administrativní kapacity těchto zemí, zda jsou skutečně jednotlivé normy EU schopny tyto státy přejímat, provádět a na každodenní bázi vynucovat. Technická pomoc se zaměřuje na dvě základní oblasti: na přenos </w:t>
      </w:r>
      <w:proofErr w:type="spellStart"/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>know</w:t>
      </w:r>
      <w:proofErr w:type="spellEnd"/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>-</w:t>
      </w:r>
      <w:proofErr w:type="spellStart"/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>how</w:t>
      </w:r>
      <w:proofErr w:type="spellEnd"/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 a na investice.</w:t>
      </w:r>
      <w:r w:rsidR="00EE651A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 </w:t>
      </w: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>Více informací k této technické pomoci:</w:t>
      </w:r>
    </w:p>
    <w:p w:rsidR="00BA4EF5" w:rsidRPr="0029118B" w:rsidRDefault="00BA4EF5" w:rsidP="00BA4EF5">
      <w:pPr>
        <w:rPr>
          <w:rFonts w:ascii="Arial Narrow" w:hAnsi="Arial Narrow"/>
          <w:sz w:val="20"/>
          <w:szCs w:val="20"/>
        </w:rPr>
      </w:pPr>
      <w:hyperlink r:id="rId5" w:history="1">
        <w:r w:rsidRPr="0029118B">
          <w:rPr>
            <w:rStyle w:val="Hypertextovodkaz"/>
            <w:rFonts w:ascii="Arial Narrow" w:hAnsi="Arial Narrow"/>
            <w:sz w:val="20"/>
            <w:szCs w:val="20"/>
          </w:rPr>
          <w:t>http://ec.europa.eu/enlargement/how-does-it-work/financial-assistance/planning-ipa_en.htm</w:t>
        </w:r>
      </w:hyperlink>
    </w:p>
    <w:p w:rsidR="00BA4EF5" w:rsidRPr="0029118B" w:rsidRDefault="00BA4EF5" w:rsidP="00EE651A">
      <w:pPr>
        <w:pStyle w:val="Pa4"/>
        <w:jc w:val="both"/>
        <w:rPr>
          <w:rFonts w:ascii="Arial Narrow" w:hAnsi="Arial Narrow"/>
          <w:sz w:val="20"/>
          <w:szCs w:val="20"/>
        </w:rPr>
      </w:pP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>Od roku 2010 funguje tzv. Investiční rámec pro Západní Balkán (</w:t>
      </w:r>
      <w:r w:rsidRPr="0029118B">
        <w:rPr>
          <w:rStyle w:val="A2"/>
          <w:rFonts w:ascii="Arial Narrow" w:hAnsi="Arial Narrow"/>
          <w:sz w:val="20"/>
          <w:szCs w:val="20"/>
        </w:rPr>
        <w:t xml:space="preserve">Western </w:t>
      </w:r>
      <w:proofErr w:type="spellStart"/>
      <w:r w:rsidRPr="0029118B">
        <w:rPr>
          <w:rStyle w:val="A2"/>
          <w:rFonts w:ascii="Arial Narrow" w:hAnsi="Arial Narrow"/>
          <w:sz w:val="20"/>
          <w:szCs w:val="20"/>
        </w:rPr>
        <w:t>Balkan</w:t>
      </w:r>
      <w:proofErr w:type="spellEnd"/>
      <w:r w:rsidRPr="0029118B">
        <w:rPr>
          <w:rStyle w:val="A2"/>
          <w:rFonts w:ascii="Arial Narrow" w:hAnsi="Arial Narrow"/>
          <w:sz w:val="20"/>
          <w:szCs w:val="20"/>
        </w:rPr>
        <w:t xml:space="preserve"> </w:t>
      </w:r>
      <w:proofErr w:type="spellStart"/>
      <w:r w:rsidRPr="0029118B">
        <w:rPr>
          <w:rStyle w:val="A2"/>
          <w:rFonts w:ascii="Arial Narrow" w:hAnsi="Arial Narrow"/>
          <w:sz w:val="20"/>
          <w:szCs w:val="20"/>
        </w:rPr>
        <w:t>Investement</w:t>
      </w:r>
      <w:proofErr w:type="spellEnd"/>
      <w:r w:rsidRPr="0029118B">
        <w:rPr>
          <w:rStyle w:val="A2"/>
          <w:rFonts w:ascii="Arial Narrow" w:hAnsi="Arial Narrow"/>
          <w:sz w:val="20"/>
          <w:szCs w:val="20"/>
        </w:rPr>
        <w:t xml:space="preserve"> Framework</w:t>
      </w: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>), který je iniciativou Evropské komise, Evropské investiční banky, Evropské banky pro rekonstrukci a rozvoj, Rozvojové banky Rady Evropy. Cílem je podpořit projekty na Západním Balkáně formou půjček a grantů. Podporovanými oblastmi jsou infrastruktura, podpora MSP, energetická účinnost a ostatní oblasti investic. Více informací k WBIF:</w:t>
      </w:r>
      <w:r w:rsidR="00EE651A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 </w:t>
      </w:r>
      <w:hyperlink r:id="rId6" w:history="1">
        <w:r w:rsidRPr="0029118B">
          <w:rPr>
            <w:rStyle w:val="Hypertextovodkaz"/>
            <w:rFonts w:ascii="Arial Narrow" w:hAnsi="Arial Narrow"/>
            <w:sz w:val="20"/>
            <w:szCs w:val="20"/>
          </w:rPr>
          <w:t>http://www.wbif.eu/</w:t>
        </w:r>
      </w:hyperlink>
    </w:p>
    <w:p w:rsidR="00EE651A" w:rsidRDefault="00EE651A" w:rsidP="00BA4EF5">
      <w:pPr>
        <w:pStyle w:val="Pa0"/>
        <w:rPr>
          <w:rFonts w:ascii="Arial Narrow" w:hAnsi="Arial Narrow"/>
          <w:b/>
          <w:bCs/>
          <w:color w:val="000000"/>
          <w:sz w:val="20"/>
          <w:szCs w:val="20"/>
        </w:rPr>
      </w:pPr>
    </w:p>
    <w:p w:rsidR="00BA4EF5" w:rsidRPr="0029118B" w:rsidRDefault="00BA4EF5" w:rsidP="00BA4EF5">
      <w:pPr>
        <w:pStyle w:val="Pa0"/>
        <w:rPr>
          <w:rFonts w:ascii="Arial Narrow" w:hAnsi="Arial Narrow"/>
          <w:color w:val="000000"/>
          <w:sz w:val="20"/>
          <w:szCs w:val="20"/>
        </w:rPr>
      </w:pPr>
      <w:r w:rsidRPr="0029118B">
        <w:rPr>
          <w:rFonts w:ascii="Arial Narrow" w:hAnsi="Arial Narrow"/>
          <w:b/>
          <w:bCs/>
          <w:color w:val="000000"/>
          <w:sz w:val="20"/>
          <w:szCs w:val="20"/>
        </w:rPr>
        <w:t>Kontaktní údaje pro programy IPA</w:t>
      </w:r>
    </w:p>
    <w:p w:rsidR="00BA4EF5" w:rsidRPr="0029118B" w:rsidRDefault="00BA4EF5" w:rsidP="00BA4EF5">
      <w:pPr>
        <w:pStyle w:val="Pa4"/>
        <w:jc w:val="both"/>
        <w:rPr>
          <w:rFonts w:ascii="Arial Narrow" w:hAnsi="Arial Narrow"/>
          <w:color w:val="000000"/>
          <w:sz w:val="20"/>
          <w:szCs w:val="20"/>
        </w:rPr>
      </w:pP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Problematice rozšíření EU se primárně věnuje </w:t>
      </w:r>
      <w:r w:rsidRPr="0029118B">
        <w:rPr>
          <w:rStyle w:val="A2"/>
          <w:rFonts w:ascii="Arial Narrow" w:hAnsi="Arial Narrow"/>
          <w:sz w:val="20"/>
          <w:szCs w:val="20"/>
        </w:rPr>
        <w:t xml:space="preserve">Generální ředitelství (GŘ) Evropské komise pro rozšíření </w:t>
      </w: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(komponenta I), na jehož webových stránkách jsou k dispozici také veškeré </w:t>
      </w:r>
      <w:r w:rsidRPr="0029118B">
        <w:rPr>
          <w:rStyle w:val="A7"/>
          <w:rFonts w:ascii="Arial Narrow" w:hAnsi="Arial Narrow"/>
          <w:sz w:val="20"/>
          <w:szCs w:val="20"/>
          <w:u w:val="none"/>
        </w:rPr>
        <w:t>informace</w:t>
      </w:r>
      <w:r w:rsid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 (</w:t>
      </w:r>
      <w:hyperlink r:id="rId7" w:history="1">
        <w:r w:rsidRPr="0029118B">
          <w:rPr>
            <w:rStyle w:val="Hypertextovodkaz"/>
            <w:rFonts w:ascii="Arial Narrow" w:hAnsi="Arial Narrow"/>
            <w:sz w:val="20"/>
            <w:szCs w:val="20"/>
          </w:rPr>
          <w:t>http://ec.europa.eu/enlargement/how-does-it-work/financial-assistance/instrument-pre-accession_en.htm</w:t>
        </w:r>
      </w:hyperlink>
      <w:r w:rsid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). </w:t>
      </w: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>Vzhledem k tomu však, že většina pomoci EU je již dnes v případě zemí jihovýchodní Evropy decentralizována (více informací</w:t>
      </w:r>
      <w:r w:rsid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 na:</w:t>
      </w: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 </w:t>
      </w:r>
      <w:hyperlink r:id="rId8" w:history="1">
        <w:r w:rsidR="0029118B" w:rsidRPr="0029118B">
          <w:rPr>
            <w:rStyle w:val="Hypertextovodkaz"/>
            <w:rFonts w:ascii="Arial Narrow" w:hAnsi="Arial Narrow"/>
            <w:sz w:val="20"/>
            <w:szCs w:val="20"/>
          </w:rPr>
          <w:t>http://ec.europa.eu/enlargement/how-does-it-work/financial-assistance/decentralisation_en.htm</w:t>
        </w:r>
      </w:hyperlink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), je rovněž účelné aktuality sledovat i na webových stránkách jednotlivých </w:t>
      </w:r>
      <w:r w:rsidRPr="0029118B">
        <w:rPr>
          <w:rStyle w:val="A2"/>
          <w:rFonts w:ascii="Arial Narrow" w:hAnsi="Arial Narrow"/>
          <w:sz w:val="20"/>
          <w:szCs w:val="20"/>
        </w:rPr>
        <w:t xml:space="preserve">zastoupení Evropské komise ve světě v příslušném teritoriu </w:t>
      </w: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>(více informací</w:t>
      </w:r>
      <w:r w:rsid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 </w:t>
      </w:r>
      <w:proofErr w:type="gramStart"/>
      <w:r w:rsidR="0029118B">
        <w:rPr>
          <w:rStyle w:val="A2"/>
          <w:rFonts w:ascii="Arial Narrow" w:hAnsi="Arial Narrow"/>
          <w:b w:val="0"/>
          <w:bCs w:val="0"/>
          <w:sz w:val="20"/>
          <w:szCs w:val="20"/>
        </w:rPr>
        <w:t>na</w:t>
      </w:r>
      <w:proofErr w:type="gramEnd"/>
      <w:r w:rsidR="0029118B">
        <w:rPr>
          <w:rStyle w:val="A2"/>
          <w:rFonts w:ascii="Arial Narrow" w:hAnsi="Arial Narrow"/>
          <w:b w:val="0"/>
          <w:bCs w:val="0"/>
          <w:sz w:val="20"/>
          <w:szCs w:val="20"/>
        </w:rPr>
        <w:t>:</w:t>
      </w: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 </w:t>
      </w:r>
      <w:hyperlink r:id="rId9" w:history="1">
        <w:r w:rsidR="0029118B" w:rsidRPr="0029118B">
          <w:rPr>
            <w:rStyle w:val="Hypertextovodkaz"/>
            <w:rFonts w:ascii="Arial Narrow" w:hAnsi="Arial Narrow"/>
            <w:sz w:val="20"/>
            <w:szCs w:val="20"/>
          </w:rPr>
          <w:t>http://ec.europa.eu/enlargement/how-does-it-work/financial-assistance/decentralisation_en.htm</w:t>
        </w:r>
      </w:hyperlink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>).</w:t>
      </w:r>
    </w:p>
    <w:p w:rsidR="0029118B" w:rsidRDefault="0029118B" w:rsidP="00BA4EF5">
      <w:pPr>
        <w:pStyle w:val="Pa4"/>
        <w:jc w:val="both"/>
        <w:rPr>
          <w:rStyle w:val="A2"/>
          <w:rFonts w:ascii="Arial Narrow" w:hAnsi="Arial Narrow"/>
          <w:b w:val="0"/>
          <w:bCs w:val="0"/>
          <w:sz w:val="20"/>
          <w:szCs w:val="20"/>
        </w:rPr>
      </w:pPr>
    </w:p>
    <w:p w:rsidR="00BA4EF5" w:rsidRPr="0029118B" w:rsidRDefault="00BA4EF5" w:rsidP="00BA4EF5">
      <w:pPr>
        <w:pStyle w:val="Pa4"/>
        <w:jc w:val="both"/>
        <w:rPr>
          <w:rFonts w:ascii="Arial Narrow" w:hAnsi="Arial Narrow"/>
          <w:color w:val="000000"/>
          <w:sz w:val="20"/>
          <w:szCs w:val="20"/>
        </w:rPr>
      </w:pP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Za komponentu II (sdílená odpovědnost s GŘ pro rozšíření) a komponentu III odpovídá </w:t>
      </w:r>
      <w:r w:rsidRPr="0029118B">
        <w:rPr>
          <w:rStyle w:val="A2"/>
          <w:rFonts w:ascii="Arial Narrow" w:hAnsi="Arial Narrow"/>
          <w:sz w:val="20"/>
          <w:szCs w:val="20"/>
        </w:rPr>
        <w:t xml:space="preserve">GŘ pro regionální rozvoj </w:t>
      </w: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>(více informací</w:t>
      </w:r>
      <w:r w:rsid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 </w:t>
      </w:r>
      <w:proofErr w:type="gramStart"/>
      <w:r w:rsidR="0029118B">
        <w:rPr>
          <w:rStyle w:val="A2"/>
          <w:rFonts w:ascii="Arial Narrow" w:hAnsi="Arial Narrow"/>
          <w:b w:val="0"/>
          <w:bCs w:val="0"/>
          <w:sz w:val="20"/>
          <w:szCs w:val="20"/>
        </w:rPr>
        <w:t>na</w:t>
      </w:r>
      <w:proofErr w:type="gramEnd"/>
      <w:r w:rsidR="0029118B">
        <w:rPr>
          <w:rStyle w:val="A2"/>
          <w:rFonts w:ascii="Arial Narrow" w:hAnsi="Arial Narrow"/>
          <w:b w:val="0"/>
          <w:bCs w:val="0"/>
          <w:sz w:val="20"/>
          <w:szCs w:val="20"/>
        </w:rPr>
        <w:t>:</w:t>
      </w: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 </w:t>
      </w:r>
      <w:hyperlink r:id="rId10" w:history="1">
        <w:r w:rsidR="0029118B" w:rsidRPr="0029118B">
          <w:rPr>
            <w:rStyle w:val="Hypertextovodkaz"/>
            <w:rFonts w:ascii="Arial Narrow" w:hAnsi="Arial Narrow"/>
            <w:sz w:val="20"/>
            <w:szCs w:val="20"/>
          </w:rPr>
          <w:t>http://ec.europa.eu/regional_policy/thefunds/ipa/index_en.cfm</w:t>
        </w:r>
      </w:hyperlink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>).</w:t>
      </w:r>
    </w:p>
    <w:p w:rsidR="0029118B" w:rsidRDefault="0029118B" w:rsidP="00BA4EF5">
      <w:pPr>
        <w:pStyle w:val="Pa4"/>
        <w:jc w:val="both"/>
        <w:rPr>
          <w:rStyle w:val="A2"/>
          <w:rFonts w:ascii="Arial Narrow" w:hAnsi="Arial Narrow"/>
          <w:b w:val="0"/>
          <w:bCs w:val="0"/>
          <w:sz w:val="20"/>
          <w:szCs w:val="20"/>
        </w:rPr>
      </w:pPr>
    </w:p>
    <w:p w:rsidR="00BA4EF5" w:rsidRPr="0029118B" w:rsidRDefault="00BA4EF5" w:rsidP="00BA4EF5">
      <w:pPr>
        <w:pStyle w:val="Pa4"/>
        <w:jc w:val="both"/>
        <w:rPr>
          <w:rFonts w:ascii="Arial Narrow" w:hAnsi="Arial Narrow"/>
          <w:color w:val="000000"/>
          <w:sz w:val="20"/>
          <w:szCs w:val="20"/>
        </w:rPr>
      </w:pP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Za komponentu IV odpovídá </w:t>
      </w:r>
      <w:r w:rsidRPr="0029118B">
        <w:rPr>
          <w:rStyle w:val="A2"/>
          <w:rFonts w:ascii="Arial Narrow" w:hAnsi="Arial Narrow"/>
          <w:sz w:val="20"/>
          <w:szCs w:val="20"/>
        </w:rPr>
        <w:t xml:space="preserve">GŘ pro zaměstnanost, sociální věci a rovné příležitosti </w:t>
      </w: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(více informací </w:t>
      </w:r>
      <w:proofErr w:type="gramStart"/>
      <w:r w:rsidR="0029118B" w:rsidRPr="0029118B">
        <w:rPr>
          <w:rStyle w:val="A7"/>
          <w:rFonts w:ascii="Arial Narrow" w:hAnsi="Arial Narrow"/>
          <w:sz w:val="20"/>
          <w:szCs w:val="20"/>
          <w:u w:val="none"/>
        </w:rPr>
        <w:t>na</w:t>
      </w:r>
      <w:proofErr w:type="gramEnd"/>
      <w:r w:rsidR="0029118B" w:rsidRPr="0029118B">
        <w:rPr>
          <w:rStyle w:val="A7"/>
          <w:rFonts w:ascii="Arial Narrow" w:hAnsi="Arial Narrow"/>
          <w:sz w:val="20"/>
          <w:szCs w:val="20"/>
          <w:u w:val="none"/>
        </w:rPr>
        <w:t xml:space="preserve">: </w:t>
      </w:r>
      <w:hyperlink r:id="rId11" w:history="1">
        <w:r w:rsidR="0029118B" w:rsidRPr="00176781">
          <w:rPr>
            <w:rStyle w:val="Hypertextovodkaz"/>
            <w:rFonts w:ascii="Arial Narrow" w:hAnsi="Arial Narrow"/>
            <w:sz w:val="20"/>
            <w:szCs w:val="20"/>
          </w:rPr>
          <w:t>http://ec.europa.eu/social/main.jsp?langId=en&amp;catId=86</w:t>
        </w:r>
      </w:hyperlink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>).</w:t>
      </w:r>
    </w:p>
    <w:p w:rsidR="00C46186" w:rsidRDefault="00C46186" w:rsidP="00BA4EF5">
      <w:pPr>
        <w:pStyle w:val="Pa4"/>
        <w:jc w:val="both"/>
        <w:rPr>
          <w:rStyle w:val="A2"/>
          <w:rFonts w:ascii="Arial Narrow" w:hAnsi="Arial Narrow"/>
          <w:b w:val="0"/>
          <w:bCs w:val="0"/>
          <w:sz w:val="20"/>
          <w:szCs w:val="20"/>
        </w:rPr>
      </w:pPr>
    </w:p>
    <w:p w:rsidR="00BA4EF5" w:rsidRPr="0029118B" w:rsidRDefault="00BA4EF5" w:rsidP="00BA4EF5">
      <w:pPr>
        <w:pStyle w:val="Pa4"/>
        <w:jc w:val="both"/>
        <w:rPr>
          <w:rFonts w:ascii="Arial Narrow" w:hAnsi="Arial Narrow"/>
          <w:color w:val="000000"/>
          <w:sz w:val="20"/>
          <w:szCs w:val="20"/>
        </w:rPr>
      </w:pP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Za komponentu V odpovídá </w:t>
      </w:r>
      <w:r w:rsidRPr="0029118B">
        <w:rPr>
          <w:rStyle w:val="A2"/>
          <w:rFonts w:ascii="Arial Narrow" w:hAnsi="Arial Narrow"/>
          <w:sz w:val="20"/>
          <w:szCs w:val="20"/>
        </w:rPr>
        <w:t xml:space="preserve">GŘ pro zemědělství a rozvoj venkova </w:t>
      </w: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(více informací </w:t>
      </w:r>
      <w:hyperlink r:id="rId12" w:history="1">
        <w:r w:rsidR="0029118B" w:rsidRPr="00176781">
          <w:rPr>
            <w:rStyle w:val="Hypertextovodkaz"/>
            <w:rFonts w:ascii="Arial Narrow" w:hAnsi="Arial Narrow"/>
            <w:sz w:val="20"/>
            <w:szCs w:val="20"/>
          </w:rPr>
          <w:t>http://ec.europa.eu/agriculture/enlargement/index_en.htm</w:t>
        </w:r>
      </w:hyperlink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>).</w:t>
      </w:r>
    </w:p>
    <w:p w:rsidR="0029118B" w:rsidRDefault="0029118B" w:rsidP="00BA4EF5">
      <w:pPr>
        <w:pStyle w:val="Pa4"/>
        <w:jc w:val="both"/>
        <w:rPr>
          <w:rStyle w:val="A2"/>
          <w:rFonts w:ascii="Arial Narrow" w:hAnsi="Arial Narrow"/>
          <w:b w:val="0"/>
          <w:bCs w:val="0"/>
          <w:sz w:val="20"/>
          <w:szCs w:val="20"/>
        </w:rPr>
      </w:pPr>
    </w:p>
    <w:p w:rsidR="0029118B" w:rsidRDefault="00BA4EF5" w:rsidP="00BA4EF5">
      <w:pPr>
        <w:pStyle w:val="Pa4"/>
        <w:jc w:val="both"/>
        <w:rPr>
          <w:rStyle w:val="A7"/>
          <w:rFonts w:ascii="Arial Narrow" w:hAnsi="Arial Narrow"/>
          <w:sz w:val="20"/>
          <w:szCs w:val="20"/>
        </w:rPr>
      </w:pP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Kontakty na osoby </w:t>
      </w:r>
      <w:r w:rsidRPr="0029118B">
        <w:rPr>
          <w:rStyle w:val="A2"/>
          <w:rFonts w:ascii="Arial Narrow" w:hAnsi="Arial Narrow"/>
          <w:sz w:val="20"/>
          <w:szCs w:val="20"/>
        </w:rPr>
        <w:t xml:space="preserve">v kandidátských zemích </w:t>
      </w: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odpovědné za technickou pomoc naleznete </w:t>
      </w:r>
      <w:r w:rsidRPr="0029118B">
        <w:rPr>
          <w:rStyle w:val="A7"/>
          <w:rFonts w:ascii="Arial Narrow" w:hAnsi="Arial Narrow"/>
          <w:sz w:val="20"/>
          <w:szCs w:val="20"/>
          <w:u w:val="none"/>
        </w:rPr>
        <w:t>zde</w:t>
      </w:r>
      <w:r w:rsidR="0029118B" w:rsidRPr="0029118B">
        <w:rPr>
          <w:rStyle w:val="A7"/>
          <w:rFonts w:ascii="Arial Narrow" w:hAnsi="Arial Narrow"/>
          <w:sz w:val="20"/>
          <w:szCs w:val="20"/>
          <w:u w:val="none"/>
        </w:rPr>
        <w:t>:</w:t>
      </w:r>
    </w:p>
    <w:p w:rsidR="004F2145" w:rsidRDefault="004F2145" w:rsidP="00BA4EF5">
      <w:pPr>
        <w:pStyle w:val="Pa4"/>
        <w:jc w:val="both"/>
        <w:rPr>
          <w:rStyle w:val="A2"/>
          <w:rFonts w:ascii="Arial Narrow" w:hAnsi="Arial Narrow"/>
          <w:b w:val="0"/>
          <w:bCs w:val="0"/>
          <w:sz w:val="20"/>
          <w:szCs w:val="20"/>
        </w:rPr>
      </w:pPr>
      <w:hyperlink r:id="rId13" w:history="1">
        <w:r w:rsidRPr="00176781">
          <w:rPr>
            <w:rStyle w:val="Hypertextovodkaz"/>
            <w:rFonts w:ascii="Arial Narrow" w:hAnsi="Arial Narrow"/>
            <w:sz w:val="20"/>
            <w:szCs w:val="20"/>
          </w:rPr>
          <w:t>http://ec.europa.eu/enlargement/pdf/financial_assistance/institution_building/ncps_cc-february2011_en.pdf</w:t>
        </w:r>
      </w:hyperlink>
    </w:p>
    <w:p w:rsidR="0029118B" w:rsidRDefault="0029118B" w:rsidP="00BA4EF5">
      <w:pPr>
        <w:pStyle w:val="Pa4"/>
        <w:jc w:val="both"/>
        <w:rPr>
          <w:rStyle w:val="A2"/>
          <w:rFonts w:ascii="Arial Narrow" w:hAnsi="Arial Narrow"/>
          <w:b w:val="0"/>
          <w:bCs w:val="0"/>
          <w:sz w:val="20"/>
          <w:szCs w:val="20"/>
        </w:rPr>
      </w:pPr>
    </w:p>
    <w:p w:rsidR="00BA4EF5" w:rsidRPr="0029118B" w:rsidRDefault="00BA4EF5" w:rsidP="00BA4EF5">
      <w:pPr>
        <w:pStyle w:val="Pa4"/>
        <w:jc w:val="both"/>
        <w:rPr>
          <w:rFonts w:ascii="Arial Narrow" w:hAnsi="Arial Narrow"/>
          <w:color w:val="000000"/>
          <w:sz w:val="20"/>
          <w:szCs w:val="20"/>
        </w:rPr>
      </w:pP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Kontakty na osoby </w:t>
      </w:r>
      <w:r w:rsidRPr="0029118B">
        <w:rPr>
          <w:rStyle w:val="A2"/>
          <w:rFonts w:ascii="Arial Narrow" w:hAnsi="Arial Narrow"/>
          <w:sz w:val="20"/>
          <w:szCs w:val="20"/>
        </w:rPr>
        <w:t xml:space="preserve">v potencionálně kandidátských zemích </w:t>
      </w: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odpovědné za technickou pomoc naleznete </w:t>
      </w:r>
      <w:r w:rsidR="004F2145">
        <w:rPr>
          <w:rStyle w:val="A2"/>
          <w:rFonts w:ascii="Arial Narrow" w:hAnsi="Arial Narrow"/>
          <w:b w:val="0"/>
          <w:bCs w:val="0"/>
          <w:sz w:val="20"/>
          <w:szCs w:val="20"/>
        </w:rPr>
        <w:t>zde:</w:t>
      </w:r>
    </w:p>
    <w:p w:rsidR="0029118B" w:rsidRDefault="004F2145" w:rsidP="00BA4EF5">
      <w:pPr>
        <w:pStyle w:val="Pa4"/>
        <w:jc w:val="both"/>
        <w:rPr>
          <w:rStyle w:val="A2"/>
          <w:rFonts w:ascii="Arial Narrow" w:hAnsi="Arial Narrow"/>
          <w:b w:val="0"/>
          <w:bCs w:val="0"/>
          <w:sz w:val="20"/>
          <w:szCs w:val="20"/>
        </w:rPr>
      </w:pPr>
      <w:hyperlink r:id="rId14" w:history="1">
        <w:r w:rsidRPr="00176781">
          <w:rPr>
            <w:rStyle w:val="Hypertextovodkaz"/>
            <w:rFonts w:ascii="Arial Narrow" w:hAnsi="Arial Narrow"/>
            <w:sz w:val="20"/>
            <w:szCs w:val="20"/>
          </w:rPr>
          <w:t>http://ec.europa.eu/enlargement/pdf/financial_assistance/institution_building/ncps_potential_candidates-february2011_en.pdf</w:t>
        </w:r>
      </w:hyperlink>
    </w:p>
    <w:p w:rsidR="004F2145" w:rsidRDefault="004F2145" w:rsidP="00BA4EF5">
      <w:pPr>
        <w:pStyle w:val="Pa4"/>
        <w:jc w:val="both"/>
        <w:rPr>
          <w:rStyle w:val="A2"/>
          <w:rFonts w:ascii="Arial Narrow" w:hAnsi="Arial Narrow"/>
          <w:b w:val="0"/>
          <w:bCs w:val="0"/>
          <w:sz w:val="20"/>
          <w:szCs w:val="20"/>
        </w:rPr>
      </w:pPr>
    </w:p>
    <w:p w:rsidR="00BA4EF5" w:rsidRPr="0029118B" w:rsidRDefault="00BA4EF5" w:rsidP="00BA4EF5">
      <w:pPr>
        <w:pStyle w:val="Pa4"/>
        <w:jc w:val="both"/>
        <w:rPr>
          <w:rFonts w:ascii="Arial Narrow" w:hAnsi="Arial Narrow"/>
          <w:color w:val="000000"/>
          <w:sz w:val="20"/>
          <w:szCs w:val="20"/>
        </w:rPr>
      </w:pP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Kontakty na osoby </w:t>
      </w:r>
      <w:r w:rsidRPr="0029118B">
        <w:rPr>
          <w:rStyle w:val="A2"/>
          <w:rFonts w:ascii="Arial Narrow" w:hAnsi="Arial Narrow"/>
          <w:sz w:val="20"/>
          <w:szCs w:val="20"/>
        </w:rPr>
        <w:t xml:space="preserve">v členských zemích EU </w:t>
      </w: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>odpovědné za technickou pomoc naleznete</w:t>
      </w:r>
      <w:r w:rsidR="004F2145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 zde:</w:t>
      </w:r>
    </w:p>
    <w:p w:rsidR="0029118B" w:rsidRDefault="004F2145" w:rsidP="00BA4EF5">
      <w:pPr>
        <w:pStyle w:val="Pa4"/>
        <w:jc w:val="both"/>
        <w:rPr>
          <w:rStyle w:val="A2"/>
          <w:rFonts w:ascii="Arial Narrow" w:hAnsi="Arial Narrow"/>
          <w:b w:val="0"/>
          <w:bCs w:val="0"/>
          <w:sz w:val="20"/>
          <w:szCs w:val="20"/>
        </w:rPr>
      </w:pPr>
      <w:hyperlink r:id="rId15" w:history="1">
        <w:r w:rsidRPr="00176781">
          <w:rPr>
            <w:rStyle w:val="Hypertextovodkaz"/>
            <w:rFonts w:ascii="Arial Narrow" w:hAnsi="Arial Narrow"/>
            <w:sz w:val="20"/>
            <w:szCs w:val="20"/>
          </w:rPr>
          <w:t>http://ec.europa.eu/enlargement/pdf/financial_assistance/institution_building/ncps_ms-march2011.pdf</w:t>
        </w:r>
      </w:hyperlink>
    </w:p>
    <w:p w:rsidR="004F2145" w:rsidRDefault="004F2145" w:rsidP="00BA4EF5">
      <w:pPr>
        <w:pStyle w:val="Pa4"/>
        <w:jc w:val="both"/>
        <w:rPr>
          <w:rStyle w:val="A2"/>
          <w:rFonts w:ascii="Arial Narrow" w:hAnsi="Arial Narrow"/>
          <w:b w:val="0"/>
          <w:bCs w:val="0"/>
          <w:sz w:val="20"/>
          <w:szCs w:val="20"/>
        </w:rPr>
      </w:pPr>
    </w:p>
    <w:p w:rsidR="00BA4EF5" w:rsidRPr="0029118B" w:rsidRDefault="00BA4EF5" w:rsidP="00BA4EF5">
      <w:pPr>
        <w:pStyle w:val="Pa4"/>
        <w:jc w:val="both"/>
        <w:rPr>
          <w:rFonts w:ascii="Arial Narrow" w:hAnsi="Arial Narrow"/>
          <w:color w:val="000000"/>
          <w:sz w:val="20"/>
          <w:szCs w:val="20"/>
        </w:rPr>
      </w:pP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Přenos </w:t>
      </w:r>
      <w:proofErr w:type="spellStart"/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>know</w:t>
      </w:r>
      <w:proofErr w:type="spellEnd"/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>-</w:t>
      </w:r>
      <w:proofErr w:type="spellStart"/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>how</w:t>
      </w:r>
      <w:proofErr w:type="spellEnd"/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 a investice v zemích jihovýchodní Evropy podporuje EU také prostředn</w:t>
      </w:r>
      <w:r w:rsidR="004F2145">
        <w:rPr>
          <w:rStyle w:val="A2"/>
          <w:rFonts w:ascii="Arial Narrow" w:hAnsi="Arial Narrow"/>
          <w:b w:val="0"/>
          <w:bCs w:val="0"/>
          <w:sz w:val="20"/>
          <w:szCs w:val="20"/>
        </w:rPr>
        <w:t>ictvím sítí technické asistence</w:t>
      </w: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 </w:t>
      </w:r>
    </w:p>
    <w:p w:rsidR="004F2145" w:rsidRDefault="00BA4EF5" w:rsidP="004F2145">
      <w:pPr>
        <w:pStyle w:val="Pa4"/>
        <w:jc w:val="both"/>
        <w:rPr>
          <w:rStyle w:val="A7"/>
          <w:rFonts w:ascii="Arial Narrow" w:hAnsi="Arial Narrow"/>
          <w:sz w:val="20"/>
          <w:szCs w:val="20"/>
          <w:u w:val="none"/>
        </w:rPr>
      </w:pPr>
      <w:r w:rsidRPr="004F2145">
        <w:rPr>
          <w:rStyle w:val="A7"/>
          <w:rFonts w:ascii="Arial Narrow" w:hAnsi="Arial Narrow"/>
          <w:sz w:val="20"/>
          <w:szCs w:val="20"/>
          <w:u w:val="none"/>
        </w:rPr>
        <w:t xml:space="preserve">TAIEX </w:t>
      </w:r>
      <w:r w:rsidR="004F2145" w:rsidRPr="004F2145">
        <w:rPr>
          <w:rStyle w:val="A7"/>
          <w:rFonts w:ascii="Arial Narrow" w:hAnsi="Arial Narrow"/>
          <w:sz w:val="20"/>
          <w:szCs w:val="20"/>
          <w:u w:val="none"/>
        </w:rPr>
        <w:t>(</w:t>
      </w:r>
      <w:hyperlink r:id="rId16" w:history="1">
        <w:r w:rsidR="004F2145" w:rsidRPr="00176781">
          <w:rPr>
            <w:rStyle w:val="Hypertextovodkaz"/>
            <w:rFonts w:ascii="Arial Narrow" w:hAnsi="Arial Narrow"/>
            <w:sz w:val="20"/>
            <w:szCs w:val="20"/>
          </w:rPr>
          <w:t>http://ec.europa.eu/enlargement/taiex/index_en.htm</w:t>
        </w:r>
      </w:hyperlink>
      <w:r w:rsidR="004F2145" w:rsidRPr="004F2145">
        <w:rPr>
          <w:rStyle w:val="A7"/>
          <w:rFonts w:ascii="Arial Narrow" w:hAnsi="Arial Narrow"/>
          <w:sz w:val="20"/>
          <w:szCs w:val="20"/>
          <w:u w:val="none"/>
        </w:rPr>
        <w:t>)</w:t>
      </w:r>
    </w:p>
    <w:p w:rsidR="004F2145" w:rsidRPr="004F2145" w:rsidRDefault="004F2145" w:rsidP="004F2145">
      <w:pPr>
        <w:pStyle w:val="Pa4"/>
        <w:jc w:val="both"/>
      </w:pPr>
      <w:r>
        <w:rPr>
          <w:rStyle w:val="A7"/>
          <w:rFonts w:ascii="Arial Narrow" w:hAnsi="Arial Narrow"/>
          <w:sz w:val="20"/>
          <w:szCs w:val="20"/>
          <w:u w:val="none"/>
        </w:rPr>
        <w:t xml:space="preserve">a </w:t>
      </w:r>
      <w:r w:rsidR="00BA4EF5" w:rsidRPr="004F2145">
        <w:rPr>
          <w:rStyle w:val="A7"/>
          <w:rFonts w:ascii="Arial Narrow" w:hAnsi="Arial Narrow"/>
          <w:sz w:val="20"/>
          <w:szCs w:val="20"/>
          <w:u w:val="none"/>
        </w:rPr>
        <w:t xml:space="preserve">SIGMA </w:t>
      </w:r>
      <w:r>
        <w:rPr>
          <w:rStyle w:val="A7"/>
          <w:rFonts w:ascii="Arial Narrow" w:hAnsi="Arial Narrow"/>
          <w:sz w:val="20"/>
          <w:szCs w:val="20"/>
          <w:u w:val="none"/>
        </w:rPr>
        <w:t>(</w:t>
      </w:r>
      <w:hyperlink r:id="rId17" w:history="1">
        <w:r w:rsidRPr="00176781">
          <w:rPr>
            <w:rStyle w:val="Hypertextovodkaz"/>
            <w:rFonts w:ascii="Arial Narrow" w:hAnsi="Arial Narrow"/>
            <w:sz w:val="20"/>
            <w:szCs w:val="20"/>
          </w:rPr>
          <w:t>http://www.sigmaweb.org/pages/0,2987,en_33638100_33638151_1_1_1_1_1,00.html</w:t>
        </w:r>
      </w:hyperlink>
      <w:r>
        <w:rPr>
          <w:rStyle w:val="A7"/>
          <w:rFonts w:ascii="Arial Narrow" w:hAnsi="Arial Narrow"/>
          <w:sz w:val="20"/>
          <w:szCs w:val="20"/>
          <w:u w:val="none"/>
        </w:rPr>
        <w:t xml:space="preserve">) </w:t>
      </w:r>
    </w:p>
    <w:p w:rsidR="00BA4EF5" w:rsidRDefault="00BA4EF5" w:rsidP="00C46186">
      <w:pPr>
        <w:pStyle w:val="Pa4"/>
        <w:jc w:val="both"/>
        <w:rPr>
          <w:rStyle w:val="A5"/>
          <w:rFonts w:ascii="Arial Narrow" w:hAnsi="Arial Narrow"/>
          <w:sz w:val="20"/>
          <w:szCs w:val="20"/>
        </w:rPr>
      </w:pP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a </w:t>
      </w:r>
      <w:r w:rsidR="004F2145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také </w:t>
      </w: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národních kontaktních míst na podporu vzdělávacích programů </w:t>
      </w:r>
      <w:r w:rsidRPr="0029118B">
        <w:rPr>
          <w:rStyle w:val="A2"/>
          <w:rFonts w:ascii="Arial Narrow" w:hAnsi="Arial Narrow"/>
          <w:sz w:val="20"/>
          <w:szCs w:val="20"/>
        </w:rPr>
        <w:t xml:space="preserve">GŘ pro vzdělávání a kulturu </w:t>
      </w:r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(více informací </w:t>
      </w:r>
      <w:hyperlink r:id="rId18" w:history="1">
        <w:r w:rsidR="00C46186" w:rsidRPr="00176781">
          <w:rPr>
            <w:rStyle w:val="Hypertextovodkaz"/>
            <w:rFonts w:ascii="Arial Narrow" w:hAnsi="Arial Narrow"/>
            <w:sz w:val="20"/>
            <w:szCs w:val="20"/>
          </w:rPr>
          <w:t>http://ec.europa.eu/education/more-information/moreinformation1882_en.htm</w:t>
        </w:r>
      </w:hyperlink>
      <w:r w:rsidRPr="0029118B">
        <w:rPr>
          <w:rStyle w:val="A2"/>
          <w:rFonts w:ascii="Arial Narrow" w:hAnsi="Arial Narrow"/>
          <w:b w:val="0"/>
          <w:bCs w:val="0"/>
          <w:sz w:val="20"/>
          <w:szCs w:val="20"/>
        </w:rPr>
        <w:t>).</w:t>
      </w:r>
      <w:r w:rsidR="00C46186">
        <w:rPr>
          <w:rStyle w:val="A2"/>
          <w:rFonts w:ascii="Arial Narrow" w:hAnsi="Arial Narrow"/>
          <w:b w:val="0"/>
          <w:bCs w:val="0"/>
          <w:sz w:val="20"/>
          <w:szCs w:val="20"/>
        </w:rPr>
        <w:t xml:space="preserve"> </w:t>
      </w:r>
      <w:r w:rsidRPr="0029118B">
        <w:rPr>
          <w:rStyle w:val="A5"/>
          <w:rFonts w:ascii="Arial Narrow" w:hAnsi="Arial Narrow"/>
          <w:sz w:val="20"/>
          <w:szCs w:val="20"/>
        </w:rPr>
        <w:t>V případě zájmu o některý z těchto programů IPA doporučujeme rovněž vedle výše uvedených institucí a osob kontaktovat náš místně příslušný Zastupitelský úřad ČR v dané zemi anebo Ministerstvo zahraničních věcí ČR</w:t>
      </w:r>
      <w:r w:rsidR="004F2145">
        <w:rPr>
          <w:rStyle w:val="A5"/>
          <w:rFonts w:ascii="Arial Narrow" w:hAnsi="Arial Narrow"/>
          <w:sz w:val="20"/>
          <w:szCs w:val="20"/>
        </w:rPr>
        <w:t xml:space="preserve"> (</w:t>
      </w:r>
      <w:hyperlink r:id="rId19" w:history="1">
        <w:r w:rsidR="004F2145" w:rsidRPr="00176781">
          <w:rPr>
            <w:rStyle w:val="Hypertextovodkaz"/>
            <w:rFonts w:ascii="Arial Narrow" w:hAnsi="Arial Narrow"/>
            <w:sz w:val="20"/>
            <w:szCs w:val="20"/>
          </w:rPr>
          <w:t>http://www.mzv.cz/jnp/</w:t>
        </w:r>
      </w:hyperlink>
      <w:r w:rsidR="004F2145">
        <w:rPr>
          <w:rStyle w:val="A5"/>
          <w:rFonts w:ascii="Arial Narrow" w:hAnsi="Arial Narrow"/>
          <w:sz w:val="20"/>
          <w:szCs w:val="20"/>
        </w:rPr>
        <w:t>)</w:t>
      </w:r>
      <w:r w:rsidR="00C46186">
        <w:rPr>
          <w:rStyle w:val="A5"/>
          <w:rFonts w:ascii="Arial Narrow" w:hAnsi="Arial Narrow"/>
          <w:sz w:val="20"/>
          <w:szCs w:val="20"/>
        </w:rPr>
        <w:t xml:space="preserve"> </w:t>
      </w:r>
      <w:r w:rsidRPr="0029118B">
        <w:rPr>
          <w:rStyle w:val="A5"/>
          <w:rFonts w:ascii="Arial Narrow" w:hAnsi="Arial Narrow"/>
          <w:sz w:val="20"/>
          <w:szCs w:val="20"/>
        </w:rPr>
        <w:t>Praktické informace Vám může podat</w:t>
      </w:r>
      <w:r w:rsidR="00C46186">
        <w:rPr>
          <w:rStyle w:val="A5"/>
          <w:rFonts w:ascii="Arial Narrow" w:hAnsi="Arial Narrow"/>
          <w:sz w:val="20"/>
          <w:szCs w:val="20"/>
        </w:rPr>
        <w:t xml:space="preserve"> také</w:t>
      </w:r>
      <w:r w:rsidRPr="0029118B">
        <w:rPr>
          <w:rStyle w:val="A5"/>
          <w:rFonts w:ascii="Arial Narrow" w:hAnsi="Arial Narrow"/>
          <w:sz w:val="20"/>
          <w:szCs w:val="20"/>
        </w:rPr>
        <w:t xml:space="preserve"> agentur</w:t>
      </w:r>
      <w:r w:rsidR="00C46186">
        <w:rPr>
          <w:rStyle w:val="A5"/>
          <w:rFonts w:ascii="Arial Narrow" w:hAnsi="Arial Narrow"/>
          <w:sz w:val="20"/>
          <w:szCs w:val="20"/>
        </w:rPr>
        <w:t xml:space="preserve">a na podporu exportu </w:t>
      </w:r>
      <w:proofErr w:type="spellStart"/>
      <w:r w:rsidR="00C46186">
        <w:rPr>
          <w:rStyle w:val="A5"/>
          <w:rFonts w:ascii="Arial Narrow" w:hAnsi="Arial Narrow"/>
          <w:sz w:val="20"/>
          <w:szCs w:val="20"/>
        </w:rPr>
        <w:t>CzechTrade</w:t>
      </w:r>
      <w:proofErr w:type="spellEnd"/>
      <w:r w:rsidRPr="0029118B">
        <w:rPr>
          <w:rStyle w:val="A5"/>
          <w:rFonts w:ascii="Arial Narrow" w:hAnsi="Arial Narrow"/>
          <w:sz w:val="20"/>
          <w:szCs w:val="20"/>
        </w:rPr>
        <w:t xml:space="preserve"> </w:t>
      </w:r>
      <w:r w:rsidR="00C46186">
        <w:rPr>
          <w:rStyle w:val="A5"/>
          <w:rFonts w:ascii="Arial Narrow" w:hAnsi="Arial Narrow"/>
          <w:sz w:val="20"/>
          <w:szCs w:val="20"/>
        </w:rPr>
        <w:t>(</w:t>
      </w:r>
      <w:hyperlink r:id="rId20" w:history="1">
        <w:r w:rsidR="004F2145" w:rsidRPr="00176781">
          <w:rPr>
            <w:rStyle w:val="Hypertextovodkaz"/>
            <w:rFonts w:ascii="Arial Narrow" w:hAnsi="Arial Narrow"/>
            <w:sz w:val="20"/>
            <w:szCs w:val="20"/>
          </w:rPr>
          <w:t>http://www.czechtrade.cz/sluzby/exportni-prilezitosti/</w:t>
        </w:r>
      </w:hyperlink>
      <w:r w:rsidR="00C46186">
        <w:rPr>
          <w:rStyle w:val="A5"/>
          <w:rFonts w:ascii="Arial Narrow" w:hAnsi="Arial Narrow"/>
          <w:sz w:val="20"/>
          <w:szCs w:val="20"/>
        </w:rPr>
        <w:t>)</w:t>
      </w:r>
      <w:r w:rsidRPr="0029118B">
        <w:rPr>
          <w:rStyle w:val="A5"/>
          <w:rFonts w:ascii="Arial Narrow" w:hAnsi="Arial Narrow"/>
          <w:sz w:val="20"/>
          <w:szCs w:val="20"/>
        </w:rPr>
        <w:t>.</w:t>
      </w:r>
    </w:p>
    <w:p w:rsidR="00BA4EF5" w:rsidRPr="0029118B" w:rsidRDefault="00BA4EF5" w:rsidP="00BA4EF5">
      <w:pPr>
        <w:pStyle w:val="Pa0"/>
        <w:rPr>
          <w:rStyle w:val="A2"/>
          <w:rFonts w:ascii="Arial Narrow" w:hAnsi="Arial Narrow"/>
          <w:sz w:val="20"/>
          <w:szCs w:val="20"/>
        </w:rPr>
      </w:pPr>
    </w:p>
    <w:p w:rsidR="00C46186" w:rsidRDefault="00BA4EF5" w:rsidP="00BA4EF5">
      <w:pPr>
        <w:pStyle w:val="Pa0"/>
        <w:rPr>
          <w:rStyle w:val="A2"/>
          <w:rFonts w:ascii="Arial Narrow" w:hAnsi="Arial Narrow"/>
          <w:sz w:val="20"/>
          <w:szCs w:val="20"/>
        </w:rPr>
      </w:pPr>
      <w:r w:rsidRPr="0029118B">
        <w:rPr>
          <w:rStyle w:val="A2"/>
          <w:rFonts w:ascii="Arial Narrow" w:hAnsi="Arial Narrow"/>
          <w:sz w:val="20"/>
          <w:szCs w:val="20"/>
        </w:rPr>
        <w:t xml:space="preserve">Aktuální výzvy a výběrová řízení </w:t>
      </w:r>
    </w:p>
    <w:p w:rsidR="00C46186" w:rsidRDefault="00C46186" w:rsidP="00BA4EF5">
      <w:pPr>
        <w:pStyle w:val="Pa0"/>
        <w:rPr>
          <w:rStyle w:val="A7"/>
          <w:rFonts w:ascii="Arial Narrow" w:hAnsi="Arial Narrow"/>
          <w:sz w:val="20"/>
          <w:szCs w:val="20"/>
        </w:rPr>
      </w:pPr>
      <w:hyperlink r:id="rId21" w:history="1">
        <w:r w:rsidRPr="00176781">
          <w:rPr>
            <w:rStyle w:val="Hypertextovodkaz"/>
            <w:rFonts w:ascii="Arial Narrow" w:hAnsi="Arial Narrow"/>
            <w:sz w:val="20"/>
            <w:szCs w:val="20"/>
          </w:rPr>
          <w:t>http://ec.europa.eu/europeaid/work/funding/index_en.htm</w:t>
        </w:r>
      </w:hyperlink>
    </w:p>
    <w:p w:rsidR="00C46186" w:rsidRDefault="00C46186" w:rsidP="00BA4EF5">
      <w:pPr>
        <w:pStyle w:val="Pa0"/>
        <w:rPr>
          <w:rStyle w:val="A2"/>
          <w:rFonts w:ascii="Arial Narrow" w:hAnsi="Arial Narrow"/>
          <w:sz w:val="20"/>
          <w:szCs w:val="20"/>
        </w:rPr>
      </w:pPr>
    </w:p>
    <w:p w:rsidR="00C46186" w:rsidRDefault="00BA4EF5" w:rsidP="00BA4EF5">
      <w:pPr>
        <w:pStyle w:val="Pa0"/>
        <w:rPr>
          <w:rStyle w:val="A7"/>
          <w:rFonts w:ascii="Arial Narrow" w:hAnsi="Arial Narrow"/>
          <w:sz w:val="20"/>
          <w:szCs w:val="20"/>
        </w:rPr>
      </w:pPr>
      <w:r w:rsidRPr="0029118B">
        <w:rPr>
          <w:rStyle w:val="A2"/>
          <w:rFonts w:ascii="Arial Narrow" w:hAnsi="Arial Narrow"/>
          <w:sz w:val="20"/>
          <w:szCs w:val="20"/>
        </w:rPr>
        <w:t xml:space="preserve">Praktický průvodce </w:t>
      </w:r>
    </w:p>
    <w:p w:rsidR="00C46186" w:rsidRDefault="00C46186" w:rsidP="00BA4EF5">
      <w:pPr>
        <w:pStyle w:val="Pa0"/>
        <w:rPr>
          <w:rStyle w:val="A2"/>
          <w:rFonts w:ascii="Arial Narrow" w:hAnsi="Arial Narrow"/>
          <w:b w:val="0"/>
          <w:bCs w:val="0"/>
          <w:sz w:val="20"/>
          <w:szCs w:val="20"/>
        </w:rPr>
      </w:pPr>
      <w:hyperlink r:id="rId22" w:history="1">
        <w:r w:rsidRPr="00176781">
          <w:rPr>
            <w:rStyle w:val="Hypertextovodkaz"/>
            <w:rFonts w:ascii="Arial Narrow" w:hAnsi="Arial Narrow"/>
            <w:sz w:val="20"/>
            <w:szCs w:val="20"/>
          </w:rPr>
          <w:t>http://ec.europa.eu/europeaid/work/funding/index_en.htm</w:t>
        </w:r>
      </w:hyperlink>
    </w:p>
    <w:p w:rsidR="00C46186" w:rsidRDefault="00C46186" w:rsidP="00C46186">
      <w:pPr>
        <w:spacing w:after="0"/>
        <w:rPr>
          <w:rStyle w:val="A2"/>
          <w:rFonts w:ascii="Arial Narrow" w:hAnsi="Arial Narrow"/>
          <w:sz w:val="20"/>
          <w:szCs w:val="20"/>
        </w:rPr>
      </w:pPr>
    </w:p>
    <w:p w:rsidR="001146CC" w:rsidRDefault="00BA4EF5" w:rsidP="00C46186">
      <w:pPr>
        <w:spacing w:after="0"/>
        <w:rPr>
          <w:rStyle w:val="A2"/>
          <w:rFonts w:ascii="Arial Narrow" w:hAnsi="Arial Narrow"/>
          <w:sz w:val="20"/>
          <w:szCs w:val="20"/>
        </w:rPr>
      </w:pPr>
      <w:r w:rsidRPr="0029118B">
        <w:rPr>
          <w:rStyle w:val="A2"/>
          <w:rFonts w:ascii="Arial Narrow" w:hAnsi="Arial Narrow"/>
          <w:sz w:val="20"/>
          <w:szCs w:val="20"/>
        </w:rPr>
        <w:t xml:space="preserve">dále </w:t>
      </w:r>
    </w:p>
    <w:p w:rsidR="00C46186" w:rsidRDefault="00C46186" w:rsidP="00BA4EF5">
      <w:pPr>
        <w:rPr>
          <w:rStyle w:val="A7"/>
          <w:rFonts w:ascii="Arial Narrow" w:hAnsi="Arial Narrow"/>
          <w:sz w:val="20"/>
          <w:szCs w:val="20"/>
        </w:rPr>
      </w:pPr>
      <w:hyperlink r:id="rId23" w:history="1">
        <w:r w:rsidRPr="00176781">
          <w:rPr>
            <w:rStyle w:val="Hypertextovodkaz"/>
            <w:rFonts w:ascii="Arial Narrow" w:hAnsi="Arial Narrow"/>
            <w:sz w:val="20"/>
            <w:szCs w:val="20"/>
          </w:rPr>
          <w:t>http://ec.europa.eu/europeaid/work/funding/index_en.htm</w:t>
        </w:r>
      </w:hyperlink>
    </w:p>
    <w:p w:rsidR="00C46186" w:rsidRDefault="00C46186" w:rsidP="00BA4EF5">
      <w:pPr>
        <w:rPr>
          <w:rStyle w:val="A7"/>
          <w:rFonts w:ascii="Arial Narrow" w:hAnsi="Arial Narrow"/>
          <w:sz w:val="20"/>
          <w:szCs w:val="20"/>
        </w:rPr>
      </w:pPr>
    </w:p>
    <w:p w:rsidR="00C46186" w:rsidRPr="0029118B" w:rsidRDefault="00C46186" w:rsidP="00BA4EF5">
      <w:pPr>
        <w:rPr>
          <w:rFonts w:ascii="Arial Narrow" w:hAnsi="Arial Narrow"/>
          <w:sz w:val="20"/>
          <w:szCs w:val="20"/>
        </w:rPr>
      </w:pPr>
    </w:p>
    <w:sectPr w:rsidR="00C46186" w:rsidRPr="0029118B" w:rsidSect="00114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/>
  <w:defaultTabStop w:val="708"/>
  <w:hyphenationZone w:val="425"/>
  <w:characterSpacingControl w:val="doNotCompress"/>
  <w:compat/>
  <w:rsids>
    <w:rsidRoot w:val="00BA4EF5"/>
    <w:rsid w:val="001146CC"/>
    <w:rsid w:val="0029118B"/>
    <w:rsid w:val="004F2145"/>
    <w:rsid w:val="007932F1"/>
    <w:rsid w:val="00BA4EF5"/>
    <w:rsid w:val="00C46186"/>
    <w:rsid w:val="00EE651A"/>
    <w:rsid w:val="00FF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46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4">
    <w:name w:val="Pa4"/>
    <w:basedOn w:val="Normln"/>
    <w:next w:val="Normln"/>
    <w:uiPriority w:val="99"/>
    <w:rsid w:val="00BA4EF5"/>
    <w:pPr>
      <w:autoSpaceDE w:val="0"/>
      <w:autoSpaceDN w:val="0"/>
      <w:adjustRightInd w:val="0"/>
      <w:spacing w:after="0" w:line="241" w:lineRule="atLeast"/>
    </w:pPr>
    <w:rPr>
      <w:rFonts w:ascii="Tahoma" w:hAnsi="Tahoma" w:cs="Tahoma"/>
      <w:sz w:val="24"/>
      <w:szCs w:val="24"/>
    </w:rPr>
  </w:style>
  <w:style w:type="character" w:customStyle="1" w:styleId="A2">
    <w:name w:val="A2"/>
    <w:uiPriority w:val="99"/>
    <w:rsid w:val="00BA4EF5"/>
    <w:rPr>
      <w:b/>
      <w:bCs/>
      <w:color w:val="000000"/>
      <w:sz w:val="18"/>
      <w:szCs w:val="18"/>
    </w:rPr>
  </w:style>
  <w:style w:type="paragraph" w:customStyle="1" w:styleId="Pa0">
    <w:name w:val="Pa0"/>
    <w:basedOn w:val="Normln"/>
    <w:next w:val="Normln"/>
    <w:uiPriority w:val="99"/>
    <w:rsid w:val="00BA4EF5"/>
    <w:pPr>
      <w:autoSpaceDE w:val="0"/>
      <w:autoSpaceDN w:val="0"/>
      <w:adjustRightInd w:val="0"/>
      <w:spacing w:after="0" w:line="241" w:lineRule="atLeast"/>
    </w:pPr>
    <w:rPr>
      <w:rFonts w:ascii="Tahoma" w:hAnsi="Tahoma" w:cs="Tahoma"/>
      <w:sz w:val="24"/>
      <w:szCs w:val="24"/>
    </w:rPr>
  </w:style>
  <w:style w:type="character" w:customStyle="1" w:styleId="A7">
    <w:name w:val="A7"/>
    <w:uiPriority w:val="99"/>
    <w:rsid w:val="00BA4EF5"/>
    <w:rPr>
      <w:color w:val="000000"/>
      <w:sz w:val="18"/>
      <w:szCs w:val="18"/>
      <w:u w:val="single"/>
    </w:rPr>
  </w:style>
  <w:style w:type="paragraph" w:customStyle="1" w:styleId="Pa5">
    <w:name w:val="Pa5"/>
    <w:basedOn w:val="Normln"/>
    <w:next w:val="Normln"/>
    <w:uiPriority w:val="99"/>
    <w:rsid w:val="00BA4EF5"/>
    <w:pPr>
      <w:autoSpaceDE w:val="0"/>
      <w:autoSpaceDN w:val="0"/>
      <w:adjustRightInd w:val="0"/>
      <w:spacing w:after="0" w:line="241" w:lineRule="atLeast"/>
    </w:pPr>
    <w:rPr>
      <w:rFonts w:ascii="Tahoma" w:hAnsi="Tahoma" w:cs="Tahoma"/>
      <w:sz w:val="24"/>
      <w:szCs w:val="24"/>
    </w:rPr>
  </w:style>
  <w:style w:type="character" w:customStyle="1" w:styleId="A3">
    <w:name w:val="A3"/>
    <w:uiPriority w:val="99"/>
    <w:rsid w:val="00BA4EF5"/>
    <w:rPr>
      <w:b/>
      <w:bCs/>
      <w:color w:val="000000"/>
      <w:sz w:val="20"/>
      <w:szCs w:val="20"/>
    </w:rPr>
  </w:style>
  <w:style w:type="paragraph" w:customStyle="1" w:styleId="Pa3">
    <w:name w:val="Pa3"/>
    <w:basedOn w:val="Normln"/>
    <w:next w:val="Normln"/>
    <w:uiPriority w:val="99"/>
    <w:rsid w:val="00BA4EF5"/>
    <w:pPr>
      <w:autoSpaceDE w:val="0"/>
      <w:autoSpaceDN w:val="0"/>
      <w:adjustRightInd w:val="0"/>
      <w:spacing w:after="0" w:line="241" w:lineRule="atLeast"/>
    </w:pPr>
    <w:rPr>
      <w:rFonts w:ascii="Tahoma" w:hAnsi="Tahoma" w:cs="Tahoma"/>
      <w:sz w:val="24"/>
      <w:szCs w:val="24"/>
    </w:rPr>
  </w:style>
  <w:style w:type="paragraph" w:customStyle="1" w:styleId="Pa6">
    <w:name w:val="Pa6"/>
    <w:basedOn w:val="Normln"/>
    <w:next w:val="Normln"/>
    <w:uiPriority w:val="99"/>
    <w:rsid w:val="00BA4EF5"/>
    <w:pPr>
      <w:autoSpaceDE w:val="0"/>
      <w:autoSpaceDN w:val="0"/>
      <w:adjustRightInd w:val="0"/>
      <w:spacing w:after="0" w:line="241" w:lineRule="atLeast"/>
    </w:pPr>
    <w:rPr>
      <w:rFonts w:ascii="Tahoma" w:hAnsi="Tahoma" w:cs="Tahoma"/>
      <w:sz w:val="24"/>
      <w:szCs w:val="24"/>
    </w:rPr>
  </w:style>
  <w:style w:type="character" w:customStyle="1" w:styleId="A5">
    <w:name w:val="A5"/>
    <w:uiPriority w:val="99"/>
    <w:rsid w:val="00BA4EF5"/>
    <w:rPr>
      <w:color w:val="000000"/>
      <w:sz w:val="16"/>
      <w:szCs w:val="16"/>
    </w:rPr>
  </w:style>
  <w:style w:type="character" w:customStyle="1" w:styleId="A6">
    <w:name w:val="A6"/>
    <w:uiPriority w:val="99"/>
    <w:rsid w:val="00BA4EF5"/>
    <w:rPr>
      <w:color w:val="000000"/>
      <w:sz w:val="16"/>
      <w:szCs w:val="16"/>
      <w:u w:val="single"/>
    </w:rPr>
  </w:style>
  <w:style w:type="character" w:styleId="Hypertextovodkaz">
    <w:name w:val="Hyperlink"/>
    <w:basedOn w:val="Standardnpsmoodstavce"/>
    <w:uiPriority w:val="99"/>
    <w:unhideWhenUsed/>
    <w:rsid w:val="00BA4E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nlargement/how-does-it-work/financial-assistance/decentralisation_en.htm" TargetMode="External"/><Relationship Id="rId13" Type="http://schemas.openxmlformats.org/officeDocument/2006/relationships/hyperlink" Target="http://ec.europa.eu/enlargement/pdf/financial_assistance/institution_building/ncps_cc-february2011_en.pdf" TargetMode="External"/><Relationship Id="rId18" Type="http://schemas.openxmlformats.org/officeDocument/2006/relationships/hyperlink" Target="http://ec.europa.eu/education/more-information/moreinformation1882_en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c.europa.eu/europeaid/work/funding/index_en.htm" TargetMode="External"/><Relationship Id="rId7" Type="http://schemas.openxmlformats.org/officeDocument/2006/relationships/hyperlink" Target="http://ec.europa.eu/enlargement/how-does-it-work/financial-assistance/instrument-pre-accession_en.htm" TargetMode="External"/><Relationship Id="rId12" Type="http://schemas.openxmlformats.org/officeDocument/2006/relationships/hyperlink" Target="http://ec.europa.eu/agriculture/enlargement/index_en.htm" TargetMode="External"/><Relationship Id="rId17" Type="http://schemas.openxmlformats.org/officeDocument/2006/relationships/hyperlink" Target="http://www.sigmaweb.org/pages/0,2987,en_33638100_33638151_1_1_1_1_1,00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ec.europa.eu/enlargement/taiex/index_en.htm" TargetMode="External"/><Relationship Id="rId20" Type="http://schemas.openxmlformats.org/officeDocument/2006/relationships/hyperlink" Target="http://www.czechtrade.cz/sluzby/exportni-prilezitosti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bif.eu/" TargetMode="External"/><Relationship Id="rId11" Type="http://schemas.openxmlformats.org/officeDocument/2006/relationships/hyperlink" Target="http://ec.europa.eu/social/main.jsp?langId=en&amp;catId=8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ec.europa.eu/enlargement/how-does-it-work/financial-assistance/planning-ipa_en.htm" TargetMode="External"/><Relationship Id="rId15" Type="http://schemas.openxmlformats.org/officeDocument/2006/relationships/hyperlink" Target="http://ec.europa.eu/enlargement/pdf/financial_assistance/institution_building/ncps_ms-march2011.pdf" TargetMode="External"/><Relationship Id="rId23" Type="http://schemas.openxmlformats.org/officeDocument/2006/relationships/hyperlink" Target="http://ec.europa.eu/europeaid/work/funding/index_en.htm" TargetMode="External"/><Relationship Id="rId10" Type="http://schemas.openxmlformats.org/officeDocument/2006/relationships/hyperlink" Target="http://ec.europa.eu/regional_policy/thefunds/ipa/index_en.cfm" TargetMode="External"/><Relationship Id="rId19" Type="http://schemas.openxmlformats.org/officeDocument/2006/relationships/hyperlink" Target="http://www.mzv.cz/jnp/" TargetMode="External"/><Relationship Id="rId4" Type="http://schemas.openxmlformats.org/officeDocument/2006/relationships/hyperlink" Target="http://ec.europa.eu/enlargement/how-does-it-work/financial-assistance/planning-ipa_en.htm" TargetMode="External"/><Relationship Id="rId9" Type="http://schemas.openxmlformats.org/officeDocument/2006/relationships/hyperlink" Target="http://ec.europa.eu/enlargement/how-does-it-work/financial-assistance/decentralisation_en.htm" TargetMode="External"/><Relationship Id="rId14" Type="http://schemas.openxmlformats.org/officeDocument/2006/relationships/hyperlink" Target="http://ec.europa.eu/enlargement/pdf/financial_assistance/institution_building/ncps_potential_candidates-february2011_en.pdf" TargetMode="External"/><Relationship Id="rId22" Type="http://schemas.openxmlformats.org/officeDocument/2006/relationships/hyperlink" Target="http://ec.europa.eu/europeaid/work/funding/index_en.h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1170</Words>
  <Characters>6903</Characters>
  <Application>Microsoft Office Word</Application>
  <DocSecurity>8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spcr</Company>
  <LinksUpToDate>false</LinksUpToDate>
  <CharactersWithSpaces>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cebre</dc:creator>
  <cp:keywords/>
  <dc:description/>
  <cp:lastModifiedBy>cebre</cp:lastModifiedBy>
  <cp:revision>2</cp:revision>
  <dcterms:created xsi:type="dcterms:W3CDTF">2011-07-25T13:35:00Z</dcterms:created>
  <dcterms:modified xsi:type="dcterms:W3CDTF">2011-07-25T15:33:00Z</dcterms:modified>
</cp:coreProperties>
</file>