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B4" w:rsidRPr="00F0774D" w:rsidRDefault="002F1AB4" w:rsidP="002F1AB4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Vedle regionálních, pak EU dále spravuje i </w:t>
      </w:r>
      <w:r w:rsidRPr="00F0774D">
        <w:rPr>
          <w:rFonts w:ascii="Arial Narrow" w:hAnsi="Arial Narrow"/>
          <w:b/>
          <w:bCs/>
          <w:i/>
          <w:sz w:val="24"/>
          <w:szCs w:val="24"/>
        </w:rPr>
        <w:t>globálně zaměřené programy</w:t>
      </w:r>
      <w:r w:rsidRPr="00F0774D">
        <w:rPr>
          <w:rFonts w:ascii="Arial Narrow" w:hAnsi="Arial Narrow"/>
          <w:i/>
          <w:sz w:val="24"/>
          <w:szCs w:val="24"/>
        </w:rPr>
        <w:t xml:space="preserve"> bez teritoriálního vymezení, které se soustředí na řešení naléhavých problémů společných vždy více státům. </w:t>
      </w:r>
    </w:p>
    <w:p w:rsidR="002F1AB4" w:rsidRPr="00F0774D" w:rsidRDefault="002F1AB4" w:rsidP="002F1AB4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:rsidR="002F1AB4" w:rsidRPr="00F0774D" w:rsidRDefault="002F1AB4" w:rsidP="002F1AB4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Do této skupiny programů patří: </w:t>
      </w:r>
    </w:p>
    <w:p w:rsidR="002F1AB4" w:rsidRPr="00F0774D" w:rsidRDefault="002F1AB4" w:rsidP="002F1AB4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Evropský program pro demokracii a lidská práva (</w:t>
      </w:r>
      <w:r w:rsidRPr="00F0774D">
        <w:rPr>
          <w:rFonts w:ascii="Arial Narrow" w:hAnsi="Arial Narrow"/>
          <w:b/>
          <w:i/>
          <w:sz w:val="24"/>
          <w:szCs w:val="24"/>
        </w:rPr>
        <w:t>EIDHR</w:t>
      </w:r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5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http://ec.europa.eu/europeaid/how/finance/eidhr_en.htm</w:t>
        </w:r>
      </w:hyperlink>
    </w:p>
    <w:p w:rsidR="002F1AB4" w:rsidRPr="00F0774D" w:rsidRDefault="002F1AB4" w:rsidP="002F1AB4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Evropský program pro bezpečnost a stabilitu (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IfS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6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http://ec.europa.eu/europeaid/how/finance/ifs_en.htm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</w:t>
      </w:r>
    </w:p>
    <w:p w:rsidR="002F1AB4" w:rsidRPr="00F0774D" w:rsidRDefault="002F1AB4" w:rsidP="002F1AB4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Evropský program pro jadernou bezpečnost (</w:t>
      </w:r>
      <w:r w:rsidRPr="00F0774D">
        <w:rPr>
          <w:rFonts w:ascii="Arial Narrow" w:hAnsi="Arial Narrow"/>
          <w:b/>
          <w:i/>
          <w:sz w:val="24"/>
          <w:szCs w:val="24"/>
        </w:rPr>
        <w:t>NSCI</w:t>
      </w:r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7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http://ec.europa.eu/europeaid/how/finance/nsci_en.htm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 </w:t>
      </w:r>
    </w:p>
    <w:p w:rsidR="002F1AB4" w:rsidRPr="00F0774D" w:rsidRDefault="002F1AB4" w:rsidP="002F1AB4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a další tzv. tematické programy, které se týkají průřezových otázek bezpečnosti potravin a potravinové pomoci, životního prostředí a přírodních zdrojů, migrace a azylu, rovnosti žen a mužů nebo přímo zapojení nevládních organizací:</w:t>
      </w:r>
    </w:p>
    <w:p w:rsidR="002F1AB4" w:rsidRPr="00F0774D" w:rsidRDefault="002F1AB4" w:rsidP="002F1A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bezpečnost potravin a potravinová pomoc (</w:t>
      </w:r>
      <w:r w:rsidRPr="00F0774D">
        <w:rPr>
          <w:rFonts w:ascii="Arial Narrow" w:hAnsi="Arial Narrow"/>
          <w:b/>
          <w:i/>
          <w:sz w:val="24"/>
          <w:szCs w:val="24"/>
        </w:rPr>
        <w:t>FSTP &amp; FF</w:t>
      </w:r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8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http://ec.europa.eu/europeaid/how/finance/dci/food_en.htm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</w:p>
    <w:p w:rsidR="002F1AB4" w:rsidRPr="00F0774D" w:rsidRDefault="002F1AB4" w:rsidP="002F1AB4">
      <w:pPr>
        <w:pStyle w:val="Odstavecseseznamem"/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a </w:t>
      </w:r>
      <w:hyperlink r:id="rId9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http://ec.europa.eu/europeaid/how/finance/food-facility_en.htm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</w:t>
      </w:r>
      <w:r w:rsidRPr="00F0774D">
        <w:rPr>
          <w:rFonts w:ascii="Arial Narrow" w:hAnsi="Arial Narrow"/>
          <w:i/>
          <w:sz w:val="24"/>
          <w:szCs w:val="24"/>
        </w:rPr>
        <w:tab/>
      </w:r>
    </w:p>
    <w:p w:rsidR="002F1AB4" w:rsidRPr="00F0774D" w:rsidRDefault="002F1AB4" w:rsidP="002F1A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ochrana životního prostředí a přírodních zdrojů (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Environment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10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http://ec.europa.eu/europeaid/how/finance/dci/environment_en.htm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 </w:t>
      </w:r>
    </w:p>
    <w:p w:rsidR="002F1AB4" w:rsidRPr="00F0774D" w:rsidRDefault="002F1AB4" w:rsidP="002F1A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migrace a azyl (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Migration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11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http://ec.europa.eu/europeaid/how/finance/dci/migration_en.htm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  </w:t>
      </w:r>
    </w:p>
    <w:p w:rsidR="002F1AB4" w:rsidRPr="00F0774D" w:rsidRDefault="002F1AB4" w:rsidP="002F1A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rovnost žen a mužů (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Investing</w:t>
      </w:r>
      <w:proofErr w:type="spellEnd"/>
      <w:r w:rsidRPr="00F0774D">
        <w:rPr>
          <w:rFonts w:ascii="Arial Narrow" w:hAnsi="Arial Narrow"/>
          <w:b/>
          <w:i/>
          <w:sz w:val="24"/>
          <w:szCs w:val="24"/>
        </w:rPr>
        <w:t xml:space="preserve"> in 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people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12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http://ec.europa.eu/europeaid/how/finance/dci/investing_en.htm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</w:t>
      </w:r>
    </w:p>
    <w:p w:rsidR="002F1AB4" w:rsidRPr="00F0774D" w:rsidRDefault="002F1AB4" w:rsidP="002F1A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>zapojení nevládních organizací (</w:t>
      </w:r>
      <w:proofErr w:type="spellStart"/>
      <w:proofErr w:type="gramStart"/>
      <w:r w:rsidRPr="00F0774D">
        <w:rPr>
          <w:rFonts w:ascii="Arial Narrow" w:hAnsi="Arial Narrow"/>
          <w:i/>
          <w:sz w:val="24"/>
          <w:szCs w:val="24"/>
        </w:rPr>
        <w:t>NGOs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 (</w:t>
      </w:r>
      <w:r w:rsidRPr="00F0774D">
        <w:rPr>
          <w:rFonts w:ascii="Arial Narrow" w:hAnsi="Arial Narrow"/>
          <w:b/>
          <w:i/>
          <w:sz w:val="24"/>
          <w:szCs w:val="24"/>
        </w:rPr>
        <w:t>Non-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state</w:t>
      </w:r>
      <w:proofErr w:type="spellEnd"/>
      <w:proofErr w:type="gramEnd"/>
      <w:r w:rsidRPr="00F0774D">
        <w:rPr>
          <w:rFonts w:ascii="Arial Narrow" w:hAnsi="Arial Narrow"/>
          <w:b/>
          <w:i/>
          <w:sz w:val="24"/>
          <w:szCs w:val="24"/>
        </w:rPr>
        <w:t xml:space="preserve"> </w:t>
      </w:r>
      <w:proofErr w:type="spellStart"/>
      <w:r w:rsidRPr="00F0774D">
        <w:rPr>
          <w:rFonts w:ascii="Arial Narrow" w:hAnsi="Arial Narrow"/>
          <w:b/>
          <w:i/>
          <w:sz w:val="24"/>
          <w:szCs w:val="24"/>
        </w:rPr>
        <w:t>actors</w:t>
      </w:r>
      <w:proofErr w:type="spellEnd"/>
      <w:r w:rsidRPr="00F0774D">
        <w:rPr>
          <w:rFonts w:ascii="Arial Narrow" w:hAnsi="Arial Narrow"/>
          <w:i/>
          <w:sz w:val="24"/>
          <w:szCs w:val="24"/>
        </w:rPr>
        <w:t>)</w:t>
      </w:r>
    </w:p>
    <w:p w:rsidR="002F1AB4" w:rsidRPr="00F0774D" w:rsidRDefault="002F1AB4" w:rsidP="002F1AB4">
      <w:pPr>
        <w:pStyle w:val="Odstavecseseznamem"/>
        <w:spacing w:after="0" w:line="240" w:lineRule="auto"/>
        <w:ind w:left="0"/>
        <w:jc w:val="both"/>
        <w:rPr>
          <w:rFonts w:ascii="Arial Narrow" w:hAnsi="Arial Narrow"/>
          <w:i/>
          <w:sz w:val="24"/>
          <w:szCs w:val="24"/>
        </w:rPr>
      </w:pPr>
      <w:r w:rsidRPr="00F0774D">
        <w:rPr>
          <w:rFonts w:ascii="Arial Narrow" w:hAnsi="Arial Narrow"/>
          <w:i/>
          <w:sz w:val="24"/>
          <w:szCs w:val="24"/>
        </w:rPr>
        <w:t xml:space="preserve">více informací zde: </w:t>
      </w:r>
      <w:hyperlink r:id="rId13" w:history="1">
        <w:r w:rsidRPr="00F0774D">
          <w:rPr>
            <w:rStyle w:val="Hypertextovodkaz"/>
            <w:rFonts w:ascii="Arial Narrow" w:hAnsi="Arial Narrow"/>
            <w:i/>
            <w:sz w:val="24"/>
            <w:szCs w:val="24"/>
          </w:rPr>
          <w:t>http://ec.europa.eu/europeaid/how/finance/dci/non_state_actors_en.htm</w:t>
        </w:r>
      </w:hyperlink>
      <w:r w:rsidRPr="00F0774D">
        <w:rPr>
          <w:rFonts w:ascii="Arial Narrow" w:hAnsi="Arial Narrow"/>
          <w:i/>
          <w:sz w:val="24"/>
          <w:szCs w:val="24"/>
        </w:rPr>
        <w:t xml:space="preserve"> </w:t>
      </w:r>
    </w:p>
    <w:p w:rsidR="00CF0BFF" w:rsidRPr="00F0774D" w:rsidRDefault="00F0774D">
      <w:pPr>
        <w:rPr>
          <w:sz w:val="24"/>
          <w:szCs w:val="24"/>
        </w:rPr>
      </w:pPr>
    </w:p>
    <w:sectPr w:rsidR="00CF0BFF" w:rsidRPr="00F0774D" w:rsidSect="0044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B23"/>
    <w:multiLevelType w:val="hybridMultilevel"/>
    <w:tmpl w:val="D95C5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BB3639"/>
    <w:multiLevelType w:val="multilevel"/>
    <w:tmpl w:val="B5EA533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hyphenationZone w:val="425"/>
  <w:characterSpacingControl w:val="doNotCompress"/>
  <w:compat/>
  <w:rsids>
    <w:rsidRoot w:val="005D1306"/>
    <w:rsid w:val="00172497"/>
    <w:rsid w:val="002F1AB4"/>
    <w:rsid w:val="00440347"/>
    <w:rsid w:val="005D1306"/>
    <w:rsid w:val="00F0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AB4"/>
  </w:style>
  <w:style w:type="paragraph" w:styleId="Nadpis1">
    <w:name w:val="heading 1"/>
    <w:basedOn w:val="Normln"/>
    <w:link w:val="Nadpis1Char"/>
    <w:qFormat/>
    <w:rsid w:val="005D1306"/>
    <w:pPr>
      <w:numPr>
        <w:numId w:val="1"/>
      </w:numPr>
      <w:spacing w:after="0" w:line="206" w:lineRule="atLeast"/>
      <w:outlineLvl w:val="0"/>
    </w:pPr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D1306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5D1306"/>
    <w:pPr>
      <w:numPr>
        <w:ilvl w:val="2"/>
        <w:numId w:val="1"/>
      </w:numPr>
      <w:spacing w:after="0" w:line="206" w:lineRule="atLeast"/>
      <w:outlineLvl w:val="2"/>
    </w:pPr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1306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1306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1306"/>
    <w:pPr>
      <w:keepNext/>
      <w:numPr>
        <w:ilvl w:val="5"/>
        <w:numId w:val="1"/>
      </w:numPr>
      <w:spacing w:after="0" w:line="240" w:lineRule="auto"/>
      <w:outlineLvl w:val="5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1306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1306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130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1306"/>
    <w:rPr>
      <w:rFonts w:ascii="Arial Narrow" w:eastAsia="Arial Unicode MS" w:hAnsi="Arial Narrow" w:cs="Arial Unicode MS"/>
      <w:b/>
      <w:bCs/>
      <w:caps/>
      <w:color w:val="2A6EAC"/>
      <w:kern w:val="36"/>
      <w:sz w:val="24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5D1306"/>
    <w:rPr>
      <w:rFonts w:ascii="Arial Narrow" w:eastAsia="Arial Unicode MS" w:hAnsi="Arial Narrow" w:cs="Times New Roman"/>
      <w:b/>
      <w:color w:val="0000F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D1306"/>
    <w:rPr>
      <w:rFonts w:ascii="Arial Unicode MS" w:eastAsia="Arial Unicode MS" w:hAnsi="Arial Unicode MS" w:cs="Arial Unicode MS"/>
      <w:b/>
      <w:bCs/>
      <w:color w:val="2A6EAC"/>
      <w:sz w:val="15"/>
      <w:szCs w:val="15"/>
      <w:lang w:eastAsia="cs-CZ"/>
    </w:rPr>
  </w:style>
  <w:style w:type="character" w:customStyle="1" w:styleId="Nadpis4Char">
    <w:name w:val="Nadpis 4 Char"/>
    <w:basedOn w:val="Standardnpsmoodstavce"/>
    <w:link w:val="Nadpis4"/>
    <w:rsid w:val="005D1306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1306"/>
    <w:rPr>
      <w:rFonts w:ascii="Arial Narrow" w:eastAsia="Times New Roman" w:hAnsi="Arial Narrow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D1306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D1306"/>
    <w:rPr>
      <w:rFonts w:ascii="Arial Narrow" w:eastAsia="Times New Roman" w:hAnsi="Arial Narrow" w:cs="Times New Roman"/>
      <w:b/>
      <w:bCs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D130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D1306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5D1306"/>
    <w:rPr>
      <w:color w:val="2A6EAC"/>
      <w:u w:val="single"/>
    </w:rPr>
  </w:style>
  <w:style w:type="paragraph" w:styleId="Odstavecseseznamem">
    <w:name w:val="List Paragraph"/>
    <w:basedOn w:val="Normln"/>
    <w:uiPriority w:val="34"/>
    <w:qFormat/>
    <w:rsid w:val="002F1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peaid/how/finance/dci/food_en.htm" TargetMode="External"/><Relationship Id="rId13" Type="http://schemas.openxmlformats.org/officeDocument/2006/relationships/hyperlink" Target="http://ec.europa.eu/europeaid/how/finance/dci/non_state_actors_en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uropeaid/how/finance/nsci_en.htm" TargetMode="External"/><Relationship Id="rId12" Type="http://schemas.openxmlformats.org/officeDocument/2006/relationships/hyperlink" Target="http://ec.europa.eu/europeaid/how/finance/dci/investing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uropeaid/how/finance/ifs_en.htm" TargetMode="External"/><Relationship Id="rId11" Type="http://schemas.openxmlformats.org/officeDocument/2006/relationships/hyperlink" Target="http://ec.europa.eu/europeaid/how/finance/dci/migration_en.htm" TargetMode="External"/><Relationship Id="rId5" Type="http://schemas.openxmlformats.org/officeDocument/2006/relationships/hyperlink" Target="http://ec.europa.eu/europeaid/how/finance/eidhr_en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c.europa.eu/europeaid/how/finance/dci/environment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uropeaid/how/finance/food-facility_en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spcr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cebre</dc:creator>
  <cp:keywords/>
  <dc:description/>
  <cp:lastModifiedBy>cebre</cp:lastModifiedBy>
  <cp:revision>2</cp:revision>
  <dcterms:created xsi:type="dcterms:W3CDTF">2010-07-29T08:10:00Z</dcterms:created>
  <dcterms:modified xsi:type="dcterms:W3CDTF">2010-07-29T17:05:00Z</dcterms:modified>
</cp:coreProperties>
</file>